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575B" w14:textId="02E75588" w:rsidR="004670EA" w:rsidRPr="009E754B" w:rsidRDefault="004670EA" w:rsidP="00C66375">
      <w:pPr>
        <w:pStyle w:val="NoSpacing"/>
        <w:rPr>
          <w:b/>
          <w:bCs/>
          <w:u w:val="single"/>
        </w:rPr>
      </w:pPr>
      <w:r w:rsidRPr="009E754B">
        <w:rPr>
          <w:b/>
          <w:bCs/>
          <w:u w:val="single"/>
        </w:rPr>
        <w:t>Service Specification</w:t>
      </w:r>
    </w:p>
    <w:p w14:paraId="0033EC72" w14:textId="7FC9034A" w:rsidR="004670EA" w:rsidRDefault="00561461" w:rsidP="00C66375">
      <w:pPr>
        <w:pStyle w:val="NoSpacing"/>
        <w:rPr>
          <w:b/>
          <w:bCs/>
          <w:u w:val="single"/>
        </w:rPr>
      </w:pPr>
      <w:r>
        <w:rPr>
          <w:b/>
          <w:bCs/>
          <w:u w:val="single"/>
        </w:rPr>
        <w:t xml:space="preserve">Take-Home Naloxone Provision in Worcestershire </w:t>
      </w:r>
      <w:r w:rsidR="00165EFC">
        <w:rPr>
          <w:b/>
          <w:bCs/>
          <w:u w:val="single"/>
        </w:rPr>
        <w:t>– PILOT SCHEME</w:t>
      </w:r>
    </w:p>
    <w:p w14:paraId="1CA2E6E4" w14:textId="77777777" w:rsidR="00E07BEA" w:rsidRDefault="00E07BEA" w:rsidP="004670EA">
      <w:pPr>
        <w:pStyle w:val="NoSpacing"/>
        <w:rPr>
          <w:b/>
          <w:bCs/>
          <w:u w:val="single"/>
        </w:rPr>
      </w:pPr>
    </w:p>
    <w:p w14:paraId="4A5497AC" w14:textId="2DFE9988" w:rsidR="00E07BEA" w:rsidRPr="00AC424B" w:rsidRDefault="00E07BEA" w:rsidP="00C66375">
      <w:pPr>
        <w:pStyle w:val="NoSpacing"/>
        <w:jc w:val="center"/>
        <w:rPr>
          <w:b/>
          <w:bCs/>
          <w:color w:val="FF0000"/>
          <w:u w:val="single"/>
        </w:rPr>
      </w:pPr>
      <w:r w:rsidRPr="00AC424B">
        <w:rPr>
          <w:b/>
          <w:bCs/>
          <w:color w:val="FF0000"/>
          <w:highlight w:val="yellow"/>
          <w:u w:val="single"/>
        </w:rPr>
        <w:t>This agreement is to be used in conjunction with the Needle Syringe Programme In Worcestershire Service Specification and is NOT a stand alone document.</w:t>
      </w:r>
    </w:p>
    <w:p w14:paraId="6A2B4F05" w14:textId="77777777" w:rsidR="00E07BEA" w:rsidRDefault="00E07BEA" w:rsidP="00E07BEA">
      <w:pPr>
        <w:pStyle w:val="NoSpacing"/>
        <w:rPr>
          <w:b/>
          <w:bCs/>
          <w:u w:val="single"/>
        </w:rPr>
      </w:pPr>
    </w:p>
    <w:p w14:paraId="4429081B" w14:textId="2AE9E60D" w:rsidR="007934C1" w:rsidRPr="009E754B" w:rsidRDefault="007934C1" w:rsidP="00E07BEA">
      <w:pPr>
        <w:pStyle w:val="NoSpacing"/>
      </w:pPr>
      <w:r w:rsidRPr="009E754B">
        <w:rPr>
          <w:b/>
          <w:bCs/>
        </w:rPr>
        <w:t>Duration</w:t>
      </w:r>
      <w:r w:rsidRPr="009E754B">
        <w:t xml:space="preserve"> </w:t>
      </w:r>
    </w:p>
    <w:p w14:paraId="0611DC2F" w14:textId="1C731A6B" w:rsidR="00147E03" w:rsidRDefault="007934C1" w:rsidP="00147E03">
      <w:pPr>
        <w:pStyle w:val="NoSpacing"/>
        <w:rPr>
          <w:color w:val="FF0000"/>
        </w:rPr>
      </w:pPr>
      <w:r w:rsidRPr="009E754B">
        <w:t xml:space="preserve">Effective period: </w:t>
      </w:r>
      <w:r w:rsidRPr="009E754B">
        <w:rPr>
          <w:color w:val="FF0000"/>
        </w:rPr>
        <w:t>XXX</w:t>
      </w:r>
      <w:r w:rsidRPr="009E754B">
        <w:t xml:space="preserve"> to </w:t>
      </w:r>
      <w:r w:rsidRPr="009E754B">
        <w:rPr>
          <w:color w:val="FF0000"/>
        </w:rPr>
        <w:t>XX</w:t>
      </w:r>
      <w:r w:rsidR="00147E03">
        <w:rPr>
          <w:color w:val="FF0000"/>
        </w:rPr>
        <w:t>X</w:t>
      </w:r>
    </w:p>
    <w:p w14:paraId="72599797" w14:textId="77777777" w:rsidR="00147E03" w:rsidRDefault="00147E03" w:rsidP="00147E03">
      <w:pPr>
        <w:pStyle w:val="NoSpacing"/>
        <w:rPr>
          <w:color w:val="FF0000"/>
        </w:rPr>
      </w:pPr>
    </w:p>
    <w:p w14:paraId="0C752B96" w14:textId="3769FFFB" w:rsidR="00147E03" w:rsidRPr="00817556" w:rsidRDefault="00147E03" w:rsidP="00147E03">
      <w:pPr>
        <w:pStyle w:val="NoSpacing"/>
        <w:rPr>
          <w:b/>
          <w:bCs/>
        </w:rPr>
      </w:pPr>
      <w:r w:rsidRPr="00817556">
        <w:rPr>
          <w:b/>
          <w:bCs/>
        </w:rPr>
        <w:t xml:space="preserve">1.Background </w:t>
      </w:r>
    </w:p>
    <w:p w14:paraId="5113AE48" w14:textId="48ABAA38" w:rsidR="00A4569F" w:rsidRPr="00A4569F" w:rsidRDefault="00A4569F" w:rsidP="00A4569F">
      <w:pPr>
        <w:pStyle w:val="NoSpacing"/>
      </w:pPr>
      <w:r w:rsidRPr="00A4569F">
        <w:t xml:space="preserve">1.1 In the United Kingdom there are thousands of deaths related to heroin use every </w:t>
      </w:r>
    </w:p>
    <w:p w14:paraId="7B11EBFA" w14:textId="77777777" w:rsidR="00A4569F" w:rsidRPr="00A4569F" w:rsidRDefault="00A4569F" w:rsidP="00A4569F">
      <w:pPr>
        <w:pStyle w:val="NoSpacing"/>
      </w:pPr>
      <w:r w:rsidRPr="00A4569F">
        <w:t>year. Many of these are accidental overdoses. Cranstoun aims to reduce the harms</w:t>
      </w:r>
    </w:p>
    <w:p w14:paraId="7996BE44" w14:textId="77777777" w:rsidR="00A4569F" w:rsidRPr="00A4569F" w:rsidRDefault="00A4569F" w:rsidP="00A4569F">
      <w:pPr>
        <w:pStyle w:val="NoSpacing"/>
      </w:pPr>
      <w:r w:rsidRPr="00A4569F">
        <w:t xml:space="preserve">caused by substance use to individuals and to the wider community through a broad </w:t>
      </w:r>
    </w:p>
    <w:p w14:paraId="270E3F00" w14:textId="77777777" w:rsidR="00A4569F" w:rsidRDefault="00A4569F" w:rsidP="00A4569F">
      <w:pPr>
        <w:pStyle w:val="NoSpacing"/>
      </w:pPr>
      <w:r w:rsidRPr="00A4569F">
        <w:t>range of our services and interventions.</w:t>
      </w:r>
    </w:p>
    <w:p w14:paraId="3B21730C" w14:textId="77777777" w:rsidR="00A4569F" w:rsidRPr="00A4569F" w:rsidRDefault="00A4569F" w:rsidP="00A4569F">
      <w:pPr>
        <w:pStyle w:val="NoSpacing"/>
      </w:pPr>
    </w:p>
    <w:p w14:paraId="6893A60F" w14:textId="77777777" w:rsidR="00A4569F" w:rsidRPr="00A4569F" w:rsidRDefault="00A4569F" w:rsidP="00A4569F">
      <w:pPr>
        <w:pStyle w:val="NoSpacing"/>
      </w:pPr>
      <w:r w:rsidRPr="00A4569F">
        <w:t xml:space="preserve">1.2 Naloxone is a safe, effective drug for temporarily reversing the effects of overdose </w:t>
      </w:r>
    </w:p>
    <w:p w14:paraId="03567D19" w14:textId="77777777" w:rsidR="00A4569F" w:rsidRPr="00A4569F" w:rsidRDefault="00A4569F" w:rsidP="00A4569F">
      <w:pPr>
        <w:pStyle w:val="NoSpacing"/>
      </w:pPr>
      <w:r w:rsidRPr="00A4569F">
        <w:t xml:space="preserve">from opioids such as heroin, methadone and morphine. It is backed by extensive </w:t>
      </w:r>
    </w:p>
    <w:p w14:paraId="2809CDEC" w14:textId="77777777" w:rsidR="00A4569F" w:rsidRPr="00A4569F" w:rsidRDefault="00A4569F" w:rsidP="00A4569F">
      <w:pPr>
        <w:pStyle w:val="NoSpacing"/>
      </w:pPr>
      <w:r w:rsidRPr="00A4569F">
        <w:t xml:space="preserve">research and endorsed by the Advisory Council of Misuse of Drugs (ACMD), Office for </w:t>
      </w:r>
    </w:p>
    <w:p w14:paraId="1B2DA629" w14:textId="77777777" w:rsidR="00A4569F" w:rsidRPr="00A4569F" w:rsidRDefault="00A4569F" w:rsidP="00A4569F">
      <w:pPr>
        <w:pStyle w:val="NoSpacing"/>
      </w:pPr>
      <w:r w:rsidRPr="00A4569F">
        <w:t xml:space="preserve">Health Improvement and Disparities (OHID), and the World Health Organisation </w:t>
      </w:r>
    </w:p>
    <w:p w14:paraId="414C3B0D" w14:textId="77777777" w:rsidR="00A4569F" w:rsidRPr="00A4569F" w:rsidRDefault="00A4569F" w:rsidP="00A4569F">
      <w:pPr>
        <w:pStyle w:val="NoSpacing"/>
      </w:pPr>
      <w:r w:rsidRPr="00A4569F">
        <w:t xml:space="preserve">(WHO). The UK Guidelines on Clinical Management of Drug Misuse (commonly </w:t>
      </w:r>
    </w:p>
    <w:p w14:paraId="2482387E" w14:textId="77777777" w:rsidR="00A4569F" w:rsidRPr="00A4569F" w:rsidRDefault="00A4569F" w:rsidP="00A4569F">
      <w:pPr>
        <w:pStyle w:val="NoSpacing"/>
      </w:pPr>
      <w:r w:rsidRPr="00A4569F">
        <w:t xml:space="preserve">known as ‘the Orange Book’) fully endorses the use of naloxone in overdose </w:t>
      </w:r>
    </w:p>
    <w:p w14:paraId="32BDFA4A" w14:textId="77777777" w:rsidR="00A4569F" w:rsidRPr="00A4569F" w:rsidRDefault="00A4569F" w:rsidP="00A4569F">
      <w:pPr>
        <w:pStyle w:val="NoSpacing"/>
      </w:pPr>
      <w:r w:rsidRPr="00A4569F">
        <w:t xml:space="preserve">management. If administered in time, naloxone is effective in temporarily reversing </w:t>
      </w:r>
    </w:p>
    <w:p w14:paraId="3D37AB6B" w14:textId="77777777" w:rsidR="00A4569F" w:rsidRPr="00A4569F" w:rsidRDefault="00A4569F" w:rsidP="00A4569F">
      <w:pPr>
        <w:pStyle w:val="NoSpacing"/>
      </w:pPr>
      <w:r w:rsidRPr="00A4569F">
        <w:t xml:space="preserve">opiate overdose effects, in order to prevent death and gain additional time for </w:t>
      </w:r>
    </w:p>
    <w:p w14:paraId="5AEC8A38" w14:textId="1BB80D1A" w:rsidR="00A4569F" w:rsidRDefault="00A4569F" w:rsidP="00A4569F">
      <w:pPr>
        <w:pStyle w:val="NoSpacing"/>
      </w:pPr>
      <w:r w:rsidRPr="00A4569F">
        <w:t>attendance by paramedics</w:t>
      </w:r>
    </w:p>
    <w:p w14:paraId="07D3539A" w14:textId="77777777" w:rsidR="00A4569F" w:rsidRPr="00147E03" w:rsidRDefault="00A4569F" w:rsidP="00A4569F">
      <w:pPr>
        <w:pStyle w:val="NoSpacing"/>
        <w:rPr>
          <w:b/>
          <w:bCs/>
        </w:rPr>
      </w:pPr>
    </w:p>
    <w:p w14:paraId="58DFFE8E" w14:textId="3A7A7CF5" w:rsidR="00F15077" w:rsidRDefault="00147E03" w:rsidP="00F15077">
      <w:pPr>
        <w:pStyle w:val="NoSpacing"/>
      </w:pPr>
      <w:r w:rsidRPr="00147E03">
        <w:t>1.</w:t>
      </w:r>
      <w:r w:rsidR="00DE5EBB">
        <w:t>3</w:t>
      </w:r>
      <w:r w:rsidRPr="00147E03">
        <w:t xml:space="preserve"> Pharmacies are </w:t>
      </w:r>
      <w:r w:rsidR="007A1670">
        <w:t>ideally place</w:t>
      </w:r>
      <w:r w:rsidR="006F2CDC">
        <w:t>d</w:t>
      </w:r>
      <w:r w:rsidRPr="00147E03">
        <w:t xml:space="preserve"> to distribute Take-Home Naloxone, as they are often a primary point of contact for people who use opioids</w:t>
      </w:r>
      <w:r w:rsidR="006F2CDC">
        <w:t xml:space="preserve"> (</w:t>
      </w:r>
      <w:r w:rsidRPr="00147E03">
        <w:t>whether through needle exchange services or while collecting opiate-substitution medication</w:t>
      </w:r>
      <w:r w:rsidR="006F2CDC">
        <w:t>).</w:t>
      </w:r>
      <w:r w:rsidRPr="00147E03">
        <w:t xml:space="preserve"> </w:t>
      </w:r>
      <w:r w:rsidR="00F15077" w:rsidRPr="00F15077">
        <w:t>This makes them a highly effective setting for reaching the target population</w:t>
      </w:r>
      <w:r w:rsidR="00C66375">
        <w:t>.</w:t>
      </w:r>
    </w:p>
    <w:p w14:paraId="57F08C94" w14:textId="77777777" w:rsidR="00F15077" w:rsidRPr="00F15077" w:rsidRDefault="00F15077" w:rsidP="00F15077">
      <w:pPr>
        <w:pStyle w:val="NoSpacing"/>
      </w:pPr>
    </w:p>
    <w:p w14:paraId="59387BB2" w14:textId="3442D0C3" w:rsidR="00147E03" w:rsidRDefault="00147E03" w:rsidP="00827866">
      <w:pPr>
        <w:pStyle w:val="NoSpacing"/>
      </w:pPr>
      <w:r w:rsidRPr="00147E03">
        <w:t>1.</w:t>
      </w:r>
      <w:r w:rsidR="00DE5EBB">
        <w:t>4</w:t>
      </w:r>
      <w:r w:rsidRPr="00147E03">
        <w:t xml:space="preserve"> Pharmacy</w:t>
      </w:r>
      <w:r w:rsidR="00827866">
        <w:t xml:space="preserve"> </w:t>
      </w:r>
      <w:r w:rsidRPr="00147E03">
        <w:t xml:space="preserve">based provision of Take-Home Naloxone significantly broadens access across a wide geographical area and creates valuable opportunities to engage individuals who may not be in contact with specialist substance </w:t>
      </w:r>
      <w:r w:rsidR="00827866">
        <w:t>use</w:t>
      </w:r>
      <w:r w:rsidRPr="00147E03">
        <w:t xml:space="preserve"> services.</w:t>
      </w:r>
      <w:r w:rsidR="00827866">
        <w:t xml:space="preserve"> </w:t>
      </w:r>
      <w:r w:rsidRPr="00147E03">
        <w:t>This approach supports key public health goals by:</w:t>
      </w:r>
    </w:p>
    <w:p w14:paraId="78AC73A7" w14:textId="77777777" w:rsidR="00827866" w:rsidRPr="00147E03" w:rsidRDefault="00827866" w:rsidP="00827866">
      <w:pPr>
        <w:pStyle w:val="NoSpacing"/>
      </w:pPr>
    </w:p>
    <w:p w14:paraId="66EE320E" w14:textId="77777777" w:rsidR="00147E03" w:rsidRPr="00147E03" w:rsidRDefault="00147E03" w:rsidP="00827866">
      <w:pPr>
        <w:pStyle w:val="NoSpacing"/>
        <w:numPr>
          <w:ilvl w:val="0"/>
          <w:numId w:val="4"/>
        </w:numPr>
      </w:pPr>
      <w:r w:rsidRPr="00147E03">
        <w:t>Increasing the availability of naloxone in the community for emergency use during opioid overdoses</w:t>
      </w:r>
    </w:p>
    <w:p w14:paraId="5B032D7C" w14:textId="77777777" w:rsidR="00147E03" w:rsidRPr="00147E03" w:rsidRDefault="00147E03" w:rsidP="00827866">
      <w:pPr>
        <w:pStyle w:val="NoSpacing"/>
        <w:numPr>
          <w:ilvl w:val="0"/>
          <w:numId w:val="4"/>
        </w:numPr>
      </w:pPr>
      <w:r w:rsidRPr="00147E03">
        <w:t>Raising awareness of overdose symptoms and appropriate emergency responses</w:t>
      </w:r>
    </w:p>
    <w:p w14:paraId="23F4C531" w14:textId="77777777" w:rsidR="00147E03" w:rsidRDefault="00147E03" w:rsidP="00827866">
      <w:pPr>
        <w:pStyle w:val="NoSpacing"/>
        <w:numPr>
          <w:ilvl w:val="0"/>
          <w:numId w:val="4"/>
        </w:numPr>
      </w:pPr>
      <w:r w:rsidRPr="00147E03">
        <w:t>Providing training on the safe and effective use of naloxone in overdose situations</w:t>
      </w:r>
    </w:p>
    <w:p w14:paraId="3F9CBD55" w14:textId="77777777" w:rsidR="00827866" w:rsidRDefault="00827866" w:rsidP="00AC424B">
      <w:pPr>
        <w:pStyle w:val="NoSpacing"/>
      </w:pPr>
    </w:p>
    <w:p w14:paraId="139A2B20" w14:textId="10240E98" w:rsidR="00AC424B" w:rsidRDefault="00190923" w:rsidP="00AC424B">
      <w:pPr>
        <w:pStyle w:val="NoSpacing"/>
        <w:rPr>
          <w:b/>
          <w:bCs/>
        </w:rPr>
      </w:pPr>
      <w:r>
        <w:rPr>
          <w:b/>
          <w:bCs/>
        </w:rPr>
        <w:t>2</w:t>
      </w:r>
      <w:r w:rsidR="000C2252" w:rsidRPr="00F2796C">
        <w:rPr>
          <w:b/>
          <w:bCs/>
        </w:rPr>
        <w:t xml:space="preserve">. </w:t>
      </w:r>
      <w:r>
        <w:rPr>
          <w:b/>
          <w:bCs/>
        </w:rPr>
        <w:t xml:space="preserve">Aims and </w:t>
      </w:r>
      <w:r w:rsidR="000C2252" w:rsidRPr="00F2796C">
        <w:rPr>
          <w:b/>
          <w:bCs/>
        </w:rPr>
        <w:t xml:space="preserve">Service Outline </w:t>
      </w:r>
    </w:p>
    <w:p w14:paraId="6068B1AB" w14:textId="7B97629F" w:rsidR="001C3E36" w:rsidRDefault="00190923" w:rsidP="001C3E4E">
      <w:r w:rsidRPr="00C66375">
        <w:t>2</w:t>
      </w:r>
      <w:r w:rsidR="00A258AD" w:rsidRPr="00C66375">
        <w:t>.1</w:t>
      </w:r>
      <w:r w:rsidR="00A258AD" w:rsidRPr="00C66375">
        <w:rPr>
          <w:b/>
          <w:bCs/>
        </w:rPr>
        <w:t xml:space="preserve"> </w:t>
      </w:r>
      <w:r w:rsidR="00A258AD" w:rsidRPr="00C66375">
        <w:t xml:space="preserve">Patients aged 18 or above accessing Needle Syringe Programme or Supervised Consumption services who are also at risk of opiate overdose should be offered </w:t>
      </w:r>
      <w:r w:rsidR="001C3E36" w:rsidRPr="00C66375">
        <w:t xml:space="preserve">a </w:t>
      </w:r>
      <w:r w:rsidR="00A258AD" w:rsidRPr="00C66375">
        <w:t>naloxone injection in the form of a Naloxone Take-Home Kit during their engagement in the pharmacy.</w:t>
      </w:r>
      <w:r w:rsidR="00A258AD" w:rsidRPr="00784E2E">
        <w:t xml:space="preserve"> </w:t>
      </w:r>
    </w:p>
    <w:p w14:paraId="56592B15" w14:textId="584303AF" w:rsidR="001C3E4E" w:rsidRPr="001C3E4E" w:rsidRDefault="00190923" w:rsidP="001C3E4E">
      <w:r>
        <w:lastRenderedPageBreak/>
        <w:t>2</w:t>
      </w:r>
      <w:r w:rsidR="00A258AD">
        <w:t xml:space="preserve">.2 </w:t>
      </w:r>
      <w:r w:rsidR="001C3E4E" w:rsidRPr="001C3E4E">
        <w:t>The Naloxone Take-Home service must be delivered in a designated consultation room that complies with the General Pharmaceutical Council (GPhC) Standards for Registered Premises and meets the following minimum requirements:</w:t>
      </w:r>
    </w:p>
    <w:p w14:paraId="35D69EFE" w14:textId="77777777" w:rsidR="001C3E4E" w:rsidRPr="001C3E4E" w:rsidRDefault="001C3E4E" w:rsidP="004A73DD">
      <w:pPr>
        <w:pStyle w:val="NoSpacing"/>
        <w:numPr>
          <w:ilvl w:val="0"/>
          <w:numId w:val="6"/>
        </w:numPr>
      </w:pPr>
      <w:r w:rsidRPr="001C3E4E">
        <w:t>The consultation room must be clearly identified as a private space for confidential discussions.</w:t>
      </w:r>
    </w:p>
    <w:p w14:paraId="059E525D" w14:textId="77777777" w:rsidR="001C3E4E" w:rsidRPr="001C3E4E" w:rsidRDefault="001C3E4E" w:rsidP="004A73DD">
      <w:pPr>
        <w:pStyle w:val="NoSpacing"/>
        <w:numPr>
          <w:ilvl w:val="0"/>
          <w:numId w:val="6"/>
        </w:numPr>
      </w:pPr>
      <w:r w:rsidRPr="001C3E4E">
        <w:t>It must be separate from the public areas of the pharmacy.</w:t>
      </w:r>
    </w:p>
    <w:p w14:paraId="25CA7654" w14:textId="6DDBB149" w:rsidR="001C3E4E" w:rsidRDefault="001C3E4E" w:rsidP="004A73DD">
      <w:pPr>
        <w:pStyle w:val="NoSpacing"/>
        <w:numPr>
          <w:ilvl w:val="0"/>
          <w:numId w:val="6"/>
        </w:numPr>
      </w:pPr>
      <w:r w:rsidRPr="001C3E4E">
        <w:t>The room must allow both the pharmacist and the individual receiving the service to sit down together and speak at a normal volume without being overheard by others</w:t>
      </w:r>
      <w:r w:rsidR="00A258AD">
        <w:t xml:space="preserve"> (</w:t>
      </w:r>
      <w:r w:rsidRPr="001C3E4E">
        <w:t>including pharmacy staff</w:t>
      </w:r>
      <w:r w:rsidR="00A258AD">
        <w:t xml:space="preserve">) </w:t>
      </w:r>
      <w:r w:rsidRPr="001C3E4E">
        <w:t>unless the patient has requested or consented to the presence of another person e.g. a carer or chaperone</w:t>
      </w:r>
      <w:r w:rsidR="00A258AD">
        <w:t xml:space="preserve">. </w:t>
      </w:r>
    </w:p>
    <w:p w14:paraId="3DFE0F21" w14:textId="77777777" w:rsidR="001C3E36" w:rsidRPr="001C3E4E" w:rsidRDefault="001C3E36" w:rsidP="001C3E36">
      <w:pPr>
        <w:pStyle w:val="NoSpacing"/>
        <w:ind w:left="720"/>
      </w:pPr>
    </w:p>
    <w:p w14:paraId="6627AC97" w14:textId="4C7E41EE" w:rsidR="00E66A4C" w:rsidRDefault="00190923" w:rsidP="00E66A4C">
      <w:pPr>
        <w:pStyle w:val="NoSpacing"/>
      </w:pPr>
      <w:r>
        <w:t>2</w:t>
      </w:r>
      <w:r w:rsidR="00E66A4C">
        <w:t>.3 E</w:t>
      </w:r>
      <w:r w:rsidR="00E66A4C" w:rsidRPr="00E66A4C">
        <w:t>ach Naloxone Take-Home (Prenoxad) kit will be supplied alongside brief training for service users. This training covers how to:</w:t>
      </w:r>
    </w:p>
    <w:p w14:paraId="367993B7" w14:textId="77777777" w:rsidR="00E66A4C" w:rsidRPr="00E66A4C" w:rsidRDefault="00E66A4C" w:rsidP="00E66A4C">
      <w:pPr>
        <w:pStyle w:val="NoSpacing"/>
      </w:pPr>
    </w:p>
    <w:p w14:paraId="1B151B0A" w14:textId="77777777" w:rsidR="00E66A4C" w:rsidRPr="00E66A4C" w:rsidRDefault="00E66A4C" w:rsidP="00E66A4C">
      <w:pPr>
        <w:pStyle w:val="NoSpacing"/>
        <w:numPr>
          <w:ilvl w:val="0"/>
          <w:numId w:val="7"/>
        </w:numPr>
      </w:pPr>
      <w:r w:rsidRPr="00E66A4C">
        <w:t>Recognise the signs of an opioid overdose</w:t>
      </w:r>
    </w:p>
    <w:p w14:paraId="13BAFD9E" w14:textId="77777777" w:rsidR="00E66A4C" w:rsidRPr="00E66A4C" w:rsidRDefault="00E66A4C" w:rsidP="00E66A4C">
      <w:pPr>
        <w:pStyle w:val="NoSpacing"/>
        <w:numPr>
          <w:ilvl w:val="0"/>
          <w:numId w:val="7"/>
        </w:numPr>
      </w:pPr>
      <w:r w:rsidRPr="00E66A4C">
        <w:t>Respond appropriately in an emergency</w:t>
      </w:r>
    </w:p>
    <w:p w14:paraId="07A0459B" w14:textId="77777777" w:rsidR="00E66A4C" w:rsidRDefault="00E66A4C" w:rsidP="00E66A4C">
      <w:pPr>
        <w:pStyle w:val="NoSpacing"/>
        <w:numPr>
          <w:ilvl w:val="0"/>
          <w:numId w:val="7"/>
        </w:numPr>
      </w:pPr>
      <w:r w:rsidRPr="00E66A4C">
        <w:t>Administer naloxone safely and effectively</w:t>
      </w:r>
    </w:p>
    <w:p w14:paraId="756EE2DF" w14:textId="77777777" w:rsidR="000B4173" w:rsidRPr="00E66A4C" w:rsidRDefault="000B4173" w:rsidP="000B4173">
      <w:pPr>
        <w:pStyle w:val="NoSpacing"/>
      </w:pPr>
    </w:p>
    <w:p w14:paraId="2A9B0F6C" w14:textId="77777777" w:rsidR="00E66A4C" w:rsidRDefault="00E66A4C" w:rsidP="00E66A4C">
      <w:pPr>
        <w:pStyle w:val="NoSpacing"/>
      </w:pPr>
      <w:r w:rsidRPr="00E66A4C">
        <w:t>The training is concise and designed to be delivered efficiently without taking up significant time.</w:t>
      </w:r>
    </w:p>
    <w:p w14:paraId="0A8FE541" w14:textId="77777777" w:rsidR="000B4173" w:rsidRPr="00E66A4C" w:rsidRDefault="000B4173" w:rsidP="00E66A4C">
      <w:pPr>
        <w:pStyle w:val="NoSpacing"/>
      </w:pPr>
    </w:p>
    <w:p w14:paraId="5DA7D16A" w14:textId="76D27196" w:rsidR="00E66A4C" w:rsidRDefault="00190923" w:rsidP="00E66A4C">
      <w:pPr>
        <w:pStyle w:val="NoSpacing"/>
      </w:pPr>
      <w:r>
        <w:t>2</w:t>
      </w:r>
      <w:r w:rsidR="00E66A4C" w:rsidRPr="00E66A4C">
        <w:t>.</w:t>
      </w:r>
      <w:r w:rsidR="000B4173" w:rsidRPr="000B4173">
        <w:t>4</w:t>
      </w:r>
      <w:r w:rsidR="00E66A4C" w:rsidRPr="00E66A4C">
        <w:t xml:space="preserve"> Training may be provided by any member of the pharmacy team who has:</w:t>
      </w:r>
    </w:p>
    <w:p w14:paraId="5BF14EE7" w14:textId="77777777" w:rsidR="000B4173" w:rsidRPr="00E66A4C" w:rsidRDefault="000B4173" w:rsidP="00E66A4C">
      <w:pPr>
        <w:pStyle w:val="NoSpacing"/>
      </w:pPr>
    </w:p>
    <w:p w14:paraId="0A19CA8B" w14:textId="77777777" w:rsidR="00E66A4C" w:rsidRPr="00E66A4C" w:rsidRDefault="00E66A4C" w:rsidP="00E66A4C">
      <w:pPr>
        <w:pStyle w:val="NoSpacing"/>
        <w:numPr>
          <w:ilvl w:val="0"/>
          <w:numId w:val="8"/>
        </w:numPr>
      </w:pPr>
      <w:r w:rsidRPr="00E66A4C">
        <w:t>Received appropriate training from Cranstoun, and</w:t>
      </w:r>
    </w:p>
    <w:p w14:paraId="1A7BF3B7" w14:textId="77777777" w:rsidR="00E66A4C" w:rsidRPr="000B4173" w:rsidRDefault="00E66A4C" w:rsidP="00E66A4C">
      <w:pPr>
        <w:pStyle w:val="NoSpacing"/>
        <w:numPr>
          <w:ilvl w:val="0"/>
          <w:numId w:val="8"/>
        </w:numPr>
      </w:pPr>
      <w:r w:rsidRPr="00E66A4C">
        <w:t>Been assessed as competent by the pharmacist in charge</w:t>
      </w:r>
    </w:p>
    <w:p w14:paraId="1473EB3B" w14:textId="77777777" w:rsidR="000B4173" w:rsidRPr="00E66A4C" w:rsidRDefault="000B4173" w:rsidP="000B4173">
      <w:pPr>
        <w:pStyle w:val="NoSpacing"/>
        <w:ind w:left="720"/>
      </w:pPr>
    </w:p>
    <w:p w14:paraId="20417652" w14:textId="38D4F16B" w:rsidR="00E66A4C" w:rsidRDefault="00E66A4C" w:rsidP="00E66A4C">
      <w:pPr>
        <w:pStyle w:val="NoSpacing"/>
      </w:pPr>
      <w:r w:rsidRPr="00E66A4C">
        <w:t xml:space="preserve">Once the training is complete, Naloxone Take-Home </w:t>
      </w:r>
      <w:r>
        <w:t>kit</w:t>
      </w:r>
      <w:r w:rsidR="490593D9">
        <w:t>s</w:t>
      </w:r>
      <w:r w:rsidRPr="00E66A4C">
        <w:t xml:space="preserve"> can be issued to </w:t>
      </w:r>
      <w:r w:rsidR="6E0D0E0C">
        <w:t>individuals</w:t>
      </w:r>
      <w:r w:rsidRPr="00E66A4C">
        <w:t>.</w:t>
      </w:r>
    </w:p>
    <w:p w14:paraId="3DDAC858" w14:textId="77777777" w:rsidR="000B4173" w:rsidRPr="00E66A4C" w:rsidRDefault="000B4173" w:rsidP="00E66A4C">
      <w:pPr>
        <w:pStyle w:val="NoSpacing"/>
      </w:pPr>
    </w:p>
    <w:p w14:paraId="49C6AAFC" w14:textId="6D9A1A5C" w:rsidR="000B4173" w:rsidRDefault="00190923" w:rsidP="004D7F5E">
      <w:pPr>
        <w:pStyle w:val="NoSpacing"/>
        <w:rPr>
          <w:b/>
          <w:bCs/>
        </w:rPr>
      </w:pPr>
      <w:r w:rsidRPr="00190923">
        <w:t>2.</w:t>
      </w:r>
      <w:r w:rsidR="00C23F20">
        <w:t xml:space="preserve">5 </w:t>
      </w:r>
      <w:r w:rsidR="004D7F5E" w:rsidRPr="004D7F5E">
        <w:t>While an accredited pharmacist is not required to personally supply the Naloxone Take-Home kit or be present during its distribution, they retain overall responsibility for the service. This includes ensuring that any staff member involved in the supply or training process is appropriately trained, competent, and operating in accordance with the standards outlined in this agreement.</w:t>
      </w:r>
    </w:p>
    <w:p w14:paraId="4449D8C4" w14:textId="77777777" w:rsidR="004D7F5E" w:rsidRPr="00E66A4C" w:rsidRDefault="004D7F5E" w:rsidP="004D7F5E">
      <w:pPr>
        <w:pStyle w:val="NoSpacing"/>
      </w:pPr>
    </w:p>
    <w:p w14:paraId="6B317200" w14:textId="3C554D0D" w:rsidR="000B51BE" w:rsidRPr="00A55D35" w:rsidRDefault="000C256A" w:rsidP="00A55D35">
      <w:pPr>
        <w:pStyle w:val="NoSpacing"/>
        <w:rPr>
          <w:b/>
          <w:bCs/>
        </w:rPr>
      </w:pPr>
      <w:r>
        <w:rPr>
          <w:b/>
          <w:bCs/>
        </w:rPr>
        <w:t>3</w:t>
      </w:r>
      <w:r w:rsidR="000B51BE" w:rsidRPr="00A55D35">
        <w:rPr>
          <w:b/>
          <w:bCs/>
        </w:rPr>
        <w:t xml:space="preserve">. Ordering of Naloxone </w:t>
      </w:r>
    </w:p>
    <w:p w14:paraId="63012449" w14:textId="0D10D487" w:rsidR="001376A6" w:rsidRPr="001376A6" w:rsidRDefault="000C256A" w:rsidP="001376A6">
      <w:r>
        <w:t>3.1</w:t>
      </w:r>
      <w:r w:rsidR="00063C71" w:rsidRPr="00784E2E">
        <w:t xml:space="preserve"> </w:t>
      </w:r>
      <w:r w:rsidR="001376A6" w:rsidRPr="001376A6">
        <w:t xml:space="preserve">Naloxone Take-Home </w:t>
      </w:r>
      <w:r w:rsidR="001376A6" w:rsidRPr="00315CDC">
        <w:t>kits are provided as pre-packed Prenoxad kits</w:t>
      </w:r>
      <w:r w:rsidR="00315CDC" w:rsidRPr="00315CDC">
        <w:t xml:space="preserve"> available to order through Exchange Supplies</w:t>
      </w:r>
      <w:r w:rsidR="001376A6" w:rsidRPr="00315CDC">
        <w:t xml:space="preserve">. Pharmacists are responsible for ordering these kits from </w:t>
      </w:r>
      <w:r w:rsidR="00315CDC" w:rsidRPr="00315CDC">
        <w:t>Exchange Supplies</w:t>
      </w:r>
      <w:r w:rsidR="001376A6" w:rsidRPr="00315CDC">
        <w:t xml:space="preserve"> after dispensing a kit or replacing expired stock. To recover costs and associated fees, pharmacies should submit an invoice to Cranstoun via PharmOutcomes. Only Prenoxad kits </w:t>
      </w:r>
      <w:r w:rsidR="00315CDC" w:rsidRPr="00315CDC">
        <w:t xml:space="preserve">ordered from Exchange Supplies </w:t>
      </w:r>
      <w:r w:rsidR="001376A6" w:rsidRPr="00315CDC">
        <w:t>are approved for use within this scheme.</w:t>
      </w:r>
    </w:p>
    <w:p w14:paraId="6CC75241" w14:textId="0D764C3F" w:rsidR="00AA0224" w:rsidRDefault="000C256A" w:rsidP="00063C71">
      <w:r>
        <w:t>3</w:t>
      </w:r>
      <w:r w:rsidR="000B51BE">
        <w:t xml:space="preserve">.2 </w:t>
      </w:r>
      <w:r w:rsidR="00A55D35" w:rsidRPr="00AA0224">
        <w:t xml:space="preserve">Instructions for ordering Prenoxad Naloxone Take-Home kits are available in Appendix 3. Each participating pharmacy should initially order five kits and maintain </w:t>
      </w:r>
      <w:r w:rsidR="00A55D35" w:rsidRPr="00AA0224">
        <w:lastRenderedPageBreak/>
        <w:t>this stock level at all times. This means that each time a kit is issued, it must be reordered promptly to ensure continuous availability</w:t>
      </w:r>
      <w:r w:rsidR="00063C71" w:rsidRPr="00AA0224">
        <w:t>.</w:t>
      </w:r>
    </w:p>
    <w:p w14:paraId="4353E6C4" w14:textId="55E052EC" w:rsidR="00B14ABE" w:rsidRPr="00F01B80" w:rsidRDefault="000C256A" w:rsidP="00F01B80">
      <w:pPr>
        <w:pStyle w:val="NoSpacing"/>
        <w:rPr>
          <w:b/>
          <w:bCs/>
        </w:rPr>
      </w:pPr>
      <w:r w:rsidRPr="00F01B80">
        <w:rPr>
          <w:b/>
          <w:bCs/>
        </w:rPr>
        <w:t>4</w:t>
      </w:r>
      <w:r w:rsidR="00B14ABE" w:rsidRPr="00F01B80">
        <w:rPr>
          <w:b/>
          <w:bCs/>
        </w:rPr>
        <w:t>. Data and Information Recording</w:t>
      </w:r>
    </w:p>
    <w:p w14:paraId="23E58DF4" w14:textId="5271241A" w:rsidR="00AA0224" w:rsidRPr="00817556" w:rsidRDefault="00366C28" w:rsidP="00817556">
      <w:r w:rsidRPr="00366C28">
        <w:t>4.1</w:t>
      </w:r>
      <w:r w:rsidRPr="00F01B80">
        <w:t xml:space="preserve"> </w:t>
      </w:r>
      <w:r w:rsidRPr="00366C28">
        <w:t xml:space="preserve">For each Naloxone Take-Home kit supplied, the pharmacy </w:t>
      </w:r>
      <w:r w:rsidRPr="00C15D1F">
        <w:t>must record the transaction on PharmOutcomes, including the batch number</w:t>
      </w:r>
      <w:r w:rsidR="00C15D1F" w:rsidRPr="00C15D1F">
        <w:t xml:space="preserve">, </w:t>
      </w:r>
      <w:r w:rsidRPr="00C15D1F">
        <w:t>expiry date of the Prenoxad ki</w:t>
      </w:r>
      <w:r w:rsidR="00C15D1F" w:rsidRPr="00C15D1F">
        <w:t>t, service user name and whether transaction was a reissue.</w:t>
      </w:r>
      <w:r w:rsidR="00C15D1F">
        <w:t xml:space="preserve"> </w:t>
      </w:r>
    </w:p>
    <w:p w14:paraId="4996437E" w14:textId="576A4BAA" w:rsidR="00DD3FF8" w:rsidRPr="00F01B80" w:rsidRDefault="00DD3FF8" w:rsidP="00F01B80">
      <w:pPr>
        <w:pStyle w:val="NoSpacing"/>
        <w:rPr>
          <w:b/>
          <w:bCs/>
        </w:rPr>
      </w:pPr>
      <w:r w:rsidRPr="00F01B80">
        <w:rPr>
          <w:b/>
          <w:bCs/>
        </w:rPr>
        <w:t xml:space="preserve">5. Eligibility </w:t>
      </w:r>
      <w:r w:rsidR="00F01B80" w:rsidRPr="00F01B80">
        <w:rPr>
          <w:b/>
          <w:bCs/>
        </w:rPr>
        <w:t>for Take-Home Naloxone</w:t>
      </w:r>
    </w:p>
    <w:p w14:paraId="550FC5D4" w14:textId="6635E47A" w:rsidR="00366C28" w:rsidRPr="00366C28" w:rsidRDefault="00817556" w:rsidP="00366C28">
      <w:r>
        <w:t xml:space="preserve">5.1 </w:t>
      </w:r>
      <w:r w:rsidR="00366C28" w:rsidRPr="00366C28">
        <w:t>Prenoxad Naloxone Take-Home Kits are licensed for supply to any adult (aged 18 or over) who is at risk of opioid overdose and is accessing either the Needle and Syringe Programme (NSP)</w:t>
      </w:r>
      <w:r w:rsidR="00575B64">
        <w:t xml:space="preserve">. </w:t>
      </w:r>
    </w:p>
    <w:p w14:paraId="050DFAB0" w14:textId="2DD57F87" w:rsidR="00366C28" w:rsidRPr="00366C28" w:rsidRDefault="00817556" w:rsidP="00366C28">
      <w:r>
        <w:t>5.2</w:t>
      </w:r>
      <w:r w:rsidR="00366C28" w:rsidRPr="00366C28">
        <w:t xml:space="preserve"> Kits may also be issued to carers or family members, provided they receive the appropriate training at the time of supply.</w:t>
      </w:r>
    </w:p>
    <w:p w14:paraId="713EF640" w14:textId="32635858" w:rsidR="00324F3A" w:rsidRPr="0060683B" w:rsidRDefault="00B14ABE" w:rsidP="0060683B">
      <w:pPr>
        <w:pStyle w:val="NoSpacing"/>
        <w:rPr>
          <w:b/>
          <w:bCs/>
        </w:rPr>
      </w:pPr>
      <w:r w:rsidRPr="0060683B">
        <w:rPr>
          <w:b/>
          <w:bCs/>
        </w:rPr>
        <w:t xml:space="preserve">6. </w:t>
      </w:r>
      <w:r w:rsidR="00324F3A" w:rsidRPr="0060683B">
        <w:rPr>
          <w:b/>
          <w:bCs/>
        </w:rPr>
        <w:t xml:space="preserve">Training </w:t>
      </w:r>
    </w:p>
    <w:p w14:paraId="7D9BD0CC" w14:textId="05455AFA" w:rsidR="00B14ABE" w:rsidRPr="00B14ABE" w:rsidRDefault="00B14ABE" w:rsidP="00B14ABE">
      <w:r w:rsidRPr="00B14ABE">
        <w:t xml:space="preserve">6.1 All accredited pharmacists and support staff involved in the Naloxone Take-Home service must attend </w:t>
      </w:r>
      <w:r w:rsidR="00703FA8">
        <w:t xml:space="preserve">a </w:t>
      </w:r>
      <w:r w:rsidRPr="00B14ABE">
        <w:t>training and accreditation session organised by </w:t>
      </w:r>
      <w:r w:rsidR="00703FA8">
        <w:t xml:space="preserve">Cranstoun </w:t>
      </w:r>
      <w:r w:rsidRPr="00B14ABE">
        <w:t xml:space="preserve">prior to delivering the service. </w:t>
      </w:r>
    </w:p>
    <w:p w14:paraId="5DA61E0A" w14:textId="07E14FF0" w:rsidR="00B14ABE" w:rsidRPr="00B14ABE" w:rsidRDefault="00703FA8" w:rsidP="00B14ABE">
      <w:r>
        <w:t xml:space="preserve">6.2 </w:t>
      </w:r>
      <w:r w:rsidR="00B14ABE" w:rsidRPr="00B14ABE">
        <w:t>Any new staff members must complete this training before participating in the service. Additional training requests can be directed to</w:t>
      </w:r>
      <w:r>
        <w:t xml:space="preserve"> </w:t>
      </w:r>
      <w:hyperlink r:id="rId8" w:history="1">
        <w:r w:rsidR="000748E6" w:rsidRPr="00817556">
          <w:rPr>
            <w:rStyle w:val="Hyperlink"/>
            <w:b/>
            <w:bCs/>
            <w:color w:val="auto"/>
          </w:rPr>
          <w:t>worcsprimarycare@cranstoun.org.uk</w:t>
        </w:r>
      </w:hyperlink>
      <w:r w:rsidR="000748E6" w:rsidRPr="00817556">
        <w:t xml:space="preserve"> </w:t>
      </w:r>
    </w:p>
    <w:p w14:paraId="1DB95F64" w14:textId="3408DEE3" w:rsidR="00B14ABE" w:rsidRPr="00B14ABE" w:rsidRDefault="00B14ABE" w:rsidP="00B14ABE">
      <w:r w:rsidRPr="00B14ABE">
        <w:t>6.</w:t>
      </w:r>
      <w:r w:rsidR="00703FA8">
        <w:t xml:space="preserve">3 </w:t>
      </w:r>
      <w:r w:rsidRPr="00B14ABE">
        <w:t>Take-Home Naloxone may only be supplied after the client or carer has received appropriate training from a suitably trained member of staff. It is the responsibility of the accredited pharmacist to ensure that all new staff receive this training before they are permitted to deliver the service.</w:t>
      </w:r>
    </w:p>
    <w:p w14:paraId="22394224" w14:textId="06564F0C" w:rsidR="00B14ABE" w:rsidRPr="00B14ABE" w:rsidRDefault="00B14ABE" w:rsidP="00B14ABE">
      <w:r w:rsidRPr="00B14ABE">
        <w:t>6.</w:t>
      </w:r>
      <w:r w:rsidR="00703FA8">
        <w:t xml:space="preserve">4 </w:t>
      </w:r>
      <w:r w:rsidRPr="00B14ABE">
        <w:t>Pharmacy contractors must ensure that adequately trained support staff are available at all times to assist with the Naloxone Take-Home service. These staff members play a key role in supporting both regular and locum pharmacists with the operational delivery of the service, helping to ensure it runs safely and smoothly.</w:t>
      </w:r>
    </w:p>
    <w:p w14:paraId="04D68D89" w14:textId="66DB5A63" w:rsidR="00B14ABE" w:rsidRDefault="00B14ABE" w:rsidP="00B14ABE">
      <w:r w:rsidRPr="00B14ABE">
        <w:t>6.</w:t>
      </w:r>
      <w:r w:rsidR="00703FA8">
        <w:t xml:space="preserve">5 </w:t>
      </w:r>
      <w:r w:rsidRPr="00B14ABE">
        <w:t>Locum pharmacists who have not completed the required training are not permitted to supply Take-Home Naloxone.</w:t>
      </w:r>
    </w:p>
    <w:p w14:paraId="28922425" w14:textId="4990BB56" w:rsidR="007679B1" w:rsidRDefault="00052A19" w:rsidP="007679B1">
      <w:pPr>
        <w:rPr>
          <w:b/>
          <w:bCs/>
        </w:rPr>
      </w:pPr>
      <w:r>
        <w:rPr>
          <w:b/>
          <w:bCs/>
        </w:rPr>
        <w:t>7</w:t>
      </w:r>
      <w:r w:rsidR="007679B1" w:rsidRPr="00A27FCE">
        <w:rPr>
          <w:b/>
          <w:bCs/>
        </w:rPr>
        <w:t xml:space="preserve">. Payment Arrangements </w:t>
      </w:r>
    </w:p>
    <w:tbl>
      <w:tblPr>
        <w:tblStyle w:val="TableGrid"/>
        <w:tblW w:w="0" w:type="auto"/>
        <w:tblLook w:val="04A0" w:firstRow="1" w:lastRow="0" w:firstColumn="1" w:lastColumn="0" w:noHBand="0" w:noVBand="1"/>
      </w:tblPr>
      <w:tblGrid>
        <w:gridCol w:w="4508"/>
        <w:gridCol w:w="4508"/>
      </w:tblGrid>
      <w:tr w:rsidR="007679B1" w14:paraId="71C09290" w14:textId="77777777" w:rsidTr="0020395A">
        <w:tc>
          <w:tcPr>
            <w:tcW w:w="4508" w:type="dxa"/>
          </w:tcPr>
          <w:p w14:paraId="09815F22" w14:textId="77777777" w:rsidR="007679B1" w:rsidRDefault="007679B1" w:rsidP="0020395A">
            <w:pPr>
              <w:pStyle w:val="NoSpacing"/>
              <w:rPr>
                <w:b/>
                <w:bCs/>
              </w:rPr>
            </w:pPr>
            <w:r>
              <w:rPr>
                <w:b/>
                <w:bCs/>
              </w:rPr>
              <w:t xml:space="preserve">Service </w:t>
            </w:r>
          </w:p>
        </w:tc>
        <w:tc>
          <w:tcPr>
            <w:tcW w:w="4508" w:type="dxa"/>
          </w:tcPr>
          <w:p w14:paraId="432B5DF7" w14:textId="77777777" w:rsidR="007679B1" w:rsidRDefault="007679B1" w:rsidP="0020395A">
            <w:pPr>
              <w:pStyle w:val="NoSpacing"/>
              <w:rPr>
                <w:b/>
                <w:bCs/>
              </w:rPr>
            </w:pPr>
            <w:r>
              <w:rPr>
                <w:b/>
                <w:bCs/>
              </w:rPr>
              <w:t>Payment</w:t>
            </w:r>
          </w:p>
        </w:tc>
      </w:tr>
      <w:tr w:rsidR="007679B1" w:rsidRPr="00D2162E" w14:paraId="42D3C62F" w14:textId="77777777" w:rsidTr="0020395A">
        <w:tc>
          <w:tcPr>
            <w:tcW w:w="4508" w:type="dxa"/>
          </w:tcPr>
          <w:p w14:paraId="03C3833F" w14:textId="43290E9A" w:rsidR="007679B1" w:rsidRPr="00052A19" w:rsidRDefault="00052A19" w:rsidP="0020395A">
            <w:pPr>
              <w:pStyle w:val="NoSpacing"/>
              <w:rPr>
                <w:highlight w:val="yellow"/>
              </w:rPr>
            </w:pPr>
            <w:r w:rsidRPr="00C15D1F">
              <w:t>Take-Home Naloxone Kit</w:t>
            </w:r>
          </w:p>
        </w:tc>
        <w:tc>
          <w:tcPr>
            <w:tcW w:w="4508" w:type="dxa"/>
          </w:tcPr>
          <w:p w14:paraId="7E8EAEC5" w14:textId="7EE8F5F0" w:rsidR="007679B1" w:rsidRPr="00052A19" w:rsidRDefault="00052A19" w:rsidP="0020395A">
            <w:pPr>
              <w:pStyle w:val="NoSpacing"/>
              <w:rPr>
                <w:highlight w:val="yellow"/>
              </w:rPr>
            </w:pPr>
            <w:r w:rsidRPr="00052A19">
              <w:rPr>
                <w:highlight w:val="yellow"/>
              </w:rPr>
              <w:t>TBC</w:t>
            </w:r>
          </w:p>
        </w:tc>
      </w:tr>
    </w:tbl>
    <w:p w14:paraId="52CA6E4D" w14:textId="77777777" w:rsidR="007679B1" w:rsidRPr="00B76C65" w:rsidRDefault="007679B1" w:rsidP="007679B1">
      <w:pPr>
        <w:pStyle w:val="NoSpacing"/>
        <w:rPr>
          <w:b/>
          <w:bCs/>
        </w:rPr>
      </w:pPr>
    </w:p>
    <w:p w14:paraId="3AF658FD" w14:textId="36CBB253" w:rsidR="007679B1" w:rsidRPr="00D97548" w:rsidRDefault="00052A19" w:rsidP="007679B1">
      <w:r>
        <w:t>7</w:t>
      </w:r>
      <w:r w:rsidR="007679B1" w:rsidRPr="00D97548">
        <w:t xml:space="preserve">.1 Payments will be processed monthly following the entry of service data into PharmOutcomes. Invoices will be automatically generated by PharmOutcomes on the </w:t>
      </w:r>
      <w:r w:rsidR="007679B1" w:rsidRPr="00BF69FC">
        <w:t>5th of each month.</w:t>
      </w:r>
    </w:p>
    <w:p w14:paraId="56B91463" w14:textId="6B9F459A" w:rsidR="007679B1" w:rsidRPr="00D97548" w:rsidRDefault="00A75D06" w:rsidP="007679B1">
      <w:r>
        <w:lastRenderedPageBreak/>
        <w:t>7.2</w:t>
      </w:r>
      <w:r w:rsidR="007679B1" w:rsidRPr="00D97548">
        <w:t> Payments will be made based on submitted claims and transferred to the bank account specified by the pharmacy.</w:t>
      </w:r>
    </w:p>
    <w:p w14:paraId="296863BB" w14:textId="3E005E46" w:rsidR="00AA0224" w:rsidRDefault="00A75D06" w:rsidP="007679B1">
      <w:r>
        <w:t>7.3</w:t>
      </w:r>
      <w:r w:rsidR="007679B1" w:rsidRPr="00D97548">
        <w:t> The service contract and associated financial documentation must be completed and returned before any payments can be issued.</w:t>
      </w:r>
    </w:p>
    <w:p w14:paraId="3690218D" w14:textId="5FC5F0D4" w:rsidR="00114511" w:rsidRPr="00345381" w:rsidRDefault="00114511" w:rsidP="00345381">
      <w:pPr>
        <w:pStyle w:val="NoSpacing"/>
        <w:rPr>
          <w:b/>
          <w:bCs/>
        </w:rPr>
      </w:pPr>
      <w:r w:rsidRPr="00345381">
        <w:rPr>
          <w:b/>
          <w:bCs/>
        </w:rPr>
        <w:t xml:space="preserve">8. Termination </w:t>
      </w:r>
    </w:p>
    <w:p w14:paraId="02D7468A" w14:textId="14FAB22B" w:rsidR="00114511" w:rsidRDefault="00114511" w:rsidP="007679B1">
      <w:r>
        <w:t xml:space="preserve">8.1 </w:t>
      </w:r>
      <w:r w:rsidR="00C115A1" w:rsidRPr="00C115A1">
        <w:t xml:space="preserve">In </w:t>
      </w:r>
      <w:r w:rsidR="00C115A1">
        <w:t>addition to the</w:t>
      </w:r>
      <w:r w:rsidR="00C115A1" w:rsidRPr="00C115A1">
        <w:t xml:space="preserve"> terms outlined in the Worcestershire Needle Syringe Programme Service Specification, this agreement will be automatically terminated if the pharmacy ceases to provide the Needle Exchange Programme.</w:t>
      </w:r>
    </w:p>
    <w:p w14:paraId="63A40203" w14:textId="439BF4FC" w:rsidR="00B93EA5" w:rsidRPr="00B93EA5" w:rsidRDefault="00C23F20" w:rsidP="00B93EA5">
      <w:pPr>
        <w:pStyle w:val="NoSpacing"/>
        <w:rPr>
          <w:b/>
          <w:bCs/>
        </w:rPr>
      </w:pPr>
      <w:r>
        <w:rPr>
          <w:b/>
          <w:bCs/>
        </w:rPr>
        <w:t>9</w:t>
      </w:r>
      <w:r w:rsidR="00B93EA5" w:rsidRPr="00B93EA5">
        <w:rPr>
          <w:b/>
          <w:bCs/>
        </w:rPr>
        <w:t>. Acceptance of Service Specification: Needle Syringe Programme in Worcestershire</w:t>
      </w:r>
    </w:p>
    <w:p w14:paraId="3BF9372E" w14:textId="77777777" w:rsidR="00B93EA5" w:rsidRPr="006548E5" w:rsidRDefault="00B93EA5" w:rsidP="00B93EA5">
      <w:pPr>
        <w:pStyle w:val="BodyText"/>
        <w:spacing w:before="2"/>
        <w:ind w:right="913"/>
        <w:rPr>
          <w:rFonts w:asciiTheme="minorHAnsi" w:eastAsiaTheme="minorHAnsi" w:hAnsiTheme="minorHAnsi" w:cstheme="minorBidi"/>
          <w:color w:val="auto"/>
          <w:kern w:val="2"/>
          <w:sz w:val="24"/>
          <w:szCs w:val="24"/>
          <w14:ligatures w14:val="standardContextual"/>
        </w:rPr>
      </w:pPr>
      <w:r w:rsidRPr="006548E5">
        <w:rPr>
          <w:rFonts w:asciiTheme="minorHAnsi" w:eastAsiaTheme="minorHAnsi" w:hAnsiTheme="minorHAnsi" w:cstheme="minorBidi"/>
          <w:color w:val="auto"/>
          <w:kern w:val="2"/>
          <w:sz w:val="24"/>
          <w:szCs w:val="24"/>
          <w14:ligatures w14:val="standardContextual"/>
        </w:rPr>
        <w:t>Please complete and sign the acceptance form and the supplier request form below, then return them to Laura Finnegan, Primary Care and Governance Lead, at </w:t>
      </w:r>
      <w:hyperlink r:id="rId9" w:tgtFrame="_blank" w:history="1">
        <w:r w:rsidRPr="006548E5">
          <w:rPr>
            <w:rStyle w:val="Hyperlink"/>
            <w:rFonts w:asciiTheme="minorHAnsi" w:eastAsiaTheme="minorHAnsi" w:hAnsiTheme="minorHAnsi" w:cstheme="minorBidi"/>
            <w:kern w:val="2"/>
            <w:sz w:val="24"/>
            <w:szCs w:val="24"/>
            <w14:ligatures w14:val="standardContextual"/>
          </w:rPr>
          <w:t>worcsprimarycare@cranstoun.org.uk</w:t>
        </w:r>
      </w:hyperlink>
    </w:p>
    <w:p w14:paraId="62C6ACA9" w14:textId="77777777" w:rsidR="00B93EA5" w:rsidRPr="00EC0596" w:rsidRDefault="00B93EA5" w:rsidP="00B93EA5">
      <w:pPr>
        <w:pStyle w:val="BodyText"/>
        <w:spacing w:before="2"/>
        <w:ind w:right="913"/>
        <w:rPr>
          <w:rFonts w:asciiTheme="minorHAnsi" w:eastAsiaTheme="minorHAnsi" w:hAnsiTheme="minorHAnsi" w:cstheme="minorBidi"/>
          <w:b/>
          <w:bCs/>
          <w:color w:val="auto"/>
          <w:kern w:val="2"/>
          <w:sz w:val="24"/>
          <w:szCs w:val="24"/>
          <w14:ligatures w14:val="standardContextual"/>
        </w:rPr>
      </w:pP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6274"/>
      </w:tblGrid>
      <w:tr w:rsidR="00B93EA5" w:rsidRPr="00A00751" w14:paraId="58F6208D" w14:textId="77777777" w:rsidTr="005E7885">
        <w:trPr>
          <w:trHeight w:val="610"/>
        </w:trPr>
        <w:tc>
          <w:tcPr>
            <w:tcW w:w="3552" w:type="dxa"/>
          </w:tcPr>
          <w:p w14:paraId="7ADABE23" w14:textId="77777777" w:rsidR="00B93EA5" w:rsidRPr="00A00751" w:rsidRDefault="00B93EA5" w:rsidP="005E7885">
            <w:pPr>
              <w:pStyle w:val="TableParagraph"/>
              <w:spacing w:line="250" w:lineRule="exact"/>
              <w:rPr>
                <w:rFonts w:asciiTheme="minorHAnsi" w:hAnsiTheme="minorHAnsi"/>
                <w:b/>
                <w:sz w:val="24"/>
                <w:szCs w:val="24"/>
              </w:rPr>
            </w:pPr>
            <w:r w:rsidRPr="00A00751">
              <w:rPr>
                <w:rFonts w:asciiTheme="minorHAnsi" w:hAnsiTheme="minorHAnsi"/>
                <w:b/>
                <w:sz w:val="24"/>
                <w:szCs w:val="24"/>
              </w:rPr>
              <w:t>Service to be provided</w:t>
            </w:r>
          </w:p>
        </w:tc>
        <w:tc>
          <w:tcPr>
            <w:tcW w:w="6274" w:type="dxa"/>
          </w:tcPr>
          <w:p w14:paraId="34BD3063" w14:textId="1C39AD6B" w:rsidR="00B93EA5" w:rsidRPr="008F5D98" w:rsidRDefault="006548E5" w:rsidP="005E7885">
            <w:pPr>
              <w:pStyle w:val="NoSpacing"/>
            </w:pPr>
            <w:r w:rsidRPr="006548E5">
              <w:t>Take-Home Naloxone Provision in Worcestershire – PILOT SCHEME</w:t>
            </w:r>
          </w:p>
        </w:tc>
      </w:tr>
    </w:tbl>
    <w:p w14:paraId="754BB236" w14:textId="77777777" w:rsidR="00B93EA5" w:rsidRPr="00A00751" w:rsidRDefault="00B93EA5" w:rsidP="00B93EA5">
      <w:pPr>
        <w:pStyle w:val="BodyText"/>
        <w:spacing w:before="2"/>
        <w:ind w:right="913"/>
        <w:rPr>
          <w:rFonts w:asciiTheme="minorHAnsi" w:hAnsiTheme="minorHAnsi"/>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6117"/>
      </w:tblGrid>
      <w:tr w:rsidR="00B93EA5" w:rsidRPr="00FB47F8" w14:paraId="5B99ECBA" w14:textId="77777777" w:rsidTr="005E7885">
        <w:trPr>
          <w:trHeight w:val="685"/>
        </w:trPr>
        <w:tc>
          <w:tcPr>
            <w:tcW w:w="9781" w:type="dxa"/>
            <w:gridSpan w:val="2"/>
            <w:shd w:val="clear" w:color="auto" w:fill="DFDFDF"/>
          </w:tcPr>
          <w:p w14:paraId="7400BE85" w14:textId="77777777" w:rsidR="00B93EA5" w:rsidRPr="00FB47F8" w:rsidRDefault="00B93EA5" w:rsidP="005E7885">
            <w:pPr>
              <w:pStyle w:val="TableParagraph"/>
              <w:spacing w:before="119" w:line="276" w:lineRule="auto"/>
              <w:rPr>
                <w:rFonts w:asciiTheme="minorHAnsi" w:hAnsiTheme="minorHAnsi"/>
                <w:b/>
                <w:sz w:val="20"/>
                <w:szCs w:val="20"/>
              </w:rPr>
            </w:pPr>
            <w:r w:rsidRPr="00FB47F8">
              <w:rPr>
                <w:rFonts w:asciiTheme="minorHAnsi" w:hAnsiTheme="minorHAnsi"/>
                <w:b/>
                <w:sz w:val="20"/>
                <w:szCs w:val="20"/>
              </w:rPr>
              <w:t>Pharmacy Details</w:t>
            </w:r>
          </w:p>
        </w:tc>
      </w:tr>
      <w:tr w:rsidR="00B93EA5" w:rsidRPr="00FB47F8" w14:paraId="777B441B" w14:textId="77777777" w:rsidTr="005E7885">
        <w:trPr>
          <w:trHeight w:val="371"/>
        </w:trPr>
        <w:tc>
          <w:tcPr>
            <w:tcW w:w="3664" w:type="dxa"/>
          </w:tcPr>
          <w:p w14:paraId="3B1B7184" w14:textId="77777777" w:rsidR="00B93EA5" w:rsidRPr="00FB47F8" w:rsidRDefault="00B93EA5" w:rsidP="005E7885">
            <w:pPr>
              <w:pStyle w:val="TableParagraph"/>
              <w:spacing w:before="62" w:line="276" w:lineRule="auto"/>
              <w:rPr>
                <w:rFonts w:asciiTheme="minorHAnsi" w:hAnsiTheme="minorHAnsi"/>
                <w:b/>
                <w:bCs/>
                <w:sz w:val="20"/>
                <w:szCs w:val="20"/>
              </w:rPr>
            </w:pPr>
            <w:r w:rsidRPr="00FB47F8">
              <w:rPr>
                <w:rFonts w:asciiTheme="minorHAnsi" w:hAnsiTheme="minorHAnsi"/>
                <w:b/>
                <w:bCs/>
                <w:sz w:val="20"/>
                <w:szCs w:val="20"/>
              </w:rPr>
              <w:t>Pharmacy Name</w:t>
            </w:r>
          </w:p>
        </w:tc>
        <w:tc>
          <w:tcPr>
            <w:tcW w:w="6117" w:type="dxa"/>
          </w:tcPr>
          <w:p w14:paraId="26DE958B" w14:textId="77777777" w:rsidR="00B93EA5" w:rsidRPr="00FB47F8" w:rsidRDefault="00B93EA5" w:rsidP="005E7885">
            <w:pPr>
              <w:pStyle w:val="TableParagraph"/>
              <w:spacing w:line="276" w:lineRule="auto"/>
              <w:rPr>
                <w:rFonts w:asciiTheme="minorHAnsi" w:hAnsiTheme="minorHAnsi"/>
                <w:sz w:val="20"/>
                <w:szCs w:val="20"/>
              </w:rPr>
            </w:pPr>
          </w:p>
          <w:p w14:paraId="441BBF00" w14:textId="77777777" w:rsidR="00B93EA5" w:rsidRPr="00FB47F8" w:rsidRDefault="00B93EA5" w:rsidP="005E7885">
            <w:pPr>
              <w:pStyle w:val="TableParagraph"/>
              <w:spacing w:line="276" w:lineRule="auto"/>
              <w:rPr>
                <w:rFonts w:asciiTheme="minorHAnsi" w:hAnsiTheme="minorHAnsi"/>
                <w:sz w:val="20"/>
                <w:szCs w:val="20"/>
              </w:rPr>
            </w:pPr>
          </w:p>
        </w:tc>
      </w:tr>
      <w:tr w:rsidR="00B93EA5" w:rsidRPr="00FB47F8" w14:paraId="5E4EE1CA" w14:textId="77777777" w:rsidTr="005E7885">
        <w:trPr>
          <w:trHeight w:val="989"/>
        </w:trPr>
        <w:tc>
          <w:tcPr>
            <w:tcW w:w="3664" w:type="dxa"/>
          </w:tcPr>
          <w:p w14:paraId="4EF0A93B" w14:textId="77777777" w:rsidR="00B93EA5" w:rsidRPr="00FB47F8" w:rsidRDefault="00B93EA5" w:rsidP="005E7885">
            <w:pPr>
              <w:pStyle w:val="TableParagraph"/>
              <w:spacing w:before="60" w:line="276" w:lineRule="auto"/>
              <w:rPr>
                <w:rFonts w:asciiTheme="minorHAnsi" w:hAnsiTheme="minorHAnsi"/>
                <w:b/>
                <w:bCs/>
                <w:sz w:val="20"/>
                <w:szCs w:val="20"/>
              </w:rPr>
            </w:pPr>
            <w:r w:rsidRPr="00FB47F8">
              <w:rPr>
                <w:rFonts w:asciiTheme="minorHAnsi" w:hAnsiTheme="minorHAnsi"/>
                <w:b/>
                <w:bCs/>
                <w:sz w:val="20"/>
                <w:szCs w:val="20"/>
              </w:rPr>
              <w:t>Pharmacy Address</w:t>
            </w:r>
          </w:p>
          <w:p w14:paraId="01992C28" w14:textId="77777777" w:rsidR="00B93EA5" w:rsidRPr="00FB47F8" w:rsidRDefault="00B93EA5" w:rsidP="005E7885">
            <w:pPr>
              <w:pStyle w:val="TableParagraph"/>
              <w:spacing w:before="60" w:line="276" w:lineRule="auto"/>
              <w:rPr>
                <w:rFonts w:asciiTheme="minorHAnsi" w:hAnsiTheme="minorHAnsi"/>
                <w:b/>
                <w:bCs/>
                <w:sz w:val="20"/>
                <w:szCs w:val="20"/>
              </w:rPr>
            </w:pPr>
          </w:p>
          <w:p w14:paraId="6C3FA756" w14:textId="77777777" w:rsidR="00B93EA5" w:rsidRPr="00FB47F8" w:rsidRDefault="00B93EA5" w:rsidP="005E7885">
            <w:pPr>
              <w:pStyle w:val="TableParagraph"/>
              <w:spacing w:before="60" w:line="276" w:lineRule="auto"/>
              <w:rPr>
                <w:rFonts w:asciiTheme="minorHAnsi" w:hAnsiTheme="minorHAnsi"/>
                <w:b/>
                <w:bCs/>
                <w:sz w:val="20"/>
                <w:szCs w:val="20"/>
              </w:rPr>
            </w:pPr>
          </w:p>
        </w:tc>
        <w:tc>
          <w:tcPr>
            <w:tcW w:w="6117" w:type="dxa"/>
          </w:tcPr>
          <w:p w14:paraId="61037FE8" w14:textId="77777777" w:rsidR="00B93EA5" w:rsidRPr="00FB47F8" w:rsidRDefault="00B93EA5" w:rsidP="005E7885">
            <w:pPr>
              <w:pStyle w:val="TableParagraph"/>
              <w:spacing w:line="276" w:lineRule="auto"/>
              <w:rPr>
                <w:rFonts w:asciiTheme="minorHAnsi" w:hAnsiTheme="minorHAnsi"/>
                <w:sz w:val="20"/>
                <w:szCs w:val="20"/>
              </w:rPr>
            </w:pPr>
          </w:p>
        </w:tc>
      </w:tr>
      <w:tr w:rsidR="00B93EA5" w:rsidRPr="00FB47F8" w14:paraId="731CD19C" w14:textId="77777777" w:rsidTr="005E7885">
        <w:trPr>
          <w:trHeight w:val="371"/>
        </w:trPr>
        <w:tc>
          <w:tcPr>
            <w:tcW w:w="3664" w:type="dxa"/>
          </w:tcPr>
          <w:p w14:paraId="1338DB8D" w14:textId="77777777" w:rsidR="00B93EA5" w:rsidRPr="00FB47F8" w:rsidRDefault="00B93EA5" w:rsidP="005E7885">
            <w:pPr>
              <w:pStyle w:val="TableParagraph"/>
              <w:spacing w:before="62" w:line="276" w:lineRule="auto"/>
              <w:rPr>
                <w:rFonts w:asciiTheme="minorHAnsi" w:hAnsiTheme="minorHAnsi"/>
                <w:b/>
                <w:bCs/>
                <w:sz w:val="20"/>
                <w:szCs w:val="20"/>
              </w:rPr>
            </w:pPr>
            <w:r w:rsidRPr="00FB47F8">
              <w:rPr>
                <w:rFonts w:asciiTheme="minorHAnsi" w:hAnsiTheme="minorHAnsi"/>
                <w:b/>
                <w:bCs/>
                <w:sz w:val="20"/>
                <w:szCs w:val="20"/>
              </w:rPr>
              <w:t>Phone Number</w:t>
            </w:r>
          </w:p>
        </w:tc>
        <w:tc>
          <w:tcPr>
            <w:tcW w:w="6117" w:type="dxa"/>
          </w:tcPr>
          <w:p w14:paraId="074B698C" w14:textId="77777777" w:rsidR="00B93EA5" w:rsidRPr="00FB47F8" w:rsidRDefault="00B93EA5" w:rsidP="005E7885">
            <w:pPr>
              <w:pStyle w:val="TableParagraph"/>
              <w:spacing w:line="276" w:lineRule="auto"/>
              <w:rPr>
                <w:rFonts w:asciiTheme="minorHAnsi" w:hAnsiTheme="minorHAnsi"/>
                <w:sz w:val="20"/>
                <w:szCs w:val="20"/>
              </w:rPr>
            </w:pPr>
          </w:p>
        </w:tc>
      </w:tr>
      <w:tr w:rsidR="00B93EA5" w:rsidRPr="00FB47F8" w14:paraId="06E2377E" w14:textId="77777777" w:rsidTr="005E7885">
        <w:trPr>
          <w:trHeight w:val="369"/>
        </w:trPr>
        <w:tc>
          <w:tcPr>
            <w:tcW w:w="3664" w:type="dxa"/>
          </w:tcPr>
          <w:p w14:paraId="33A23EE4" w14:textId="77777777" w:rsidR="00B93EA5" w:rsidRPr="00FB47F8" w:rsidRDefault="00B93EA5" w:rsidP="005E7885">
            <w:pPr>
              <w:pStyle w:val="TableParagraph"/>
              <w:spacing w:before="59" w:line="276" w:lineRule="auto"/>
              <w:rPr>
                <w:rFonts w:asciiTheme="minorHAnsi" w:hAnsiTheme="minorHAnsi"/>
                <w:b/>
                <w:bCs/>
                <w:sz w:val="20"/>
                <w:szCs w:val="20"/>
              </w:rPr>
            </w:pPr>
            <w:r w:rsidRPr="00FB47F8">
              <w:rPr>
                <w:rFonts w:asciiTheme="minorHAnsi" w:hAnsiTheme="minorHAnsi"/>
                <w:b/>
                <w:bCs/>
                <w:sz w:val="20"/>
                <w:szCs w:val="20"/>
              </w:rPr>
              <w:t xml:space="preserve">Email Address </w:t>
            </w:r>
          </w:p>
        </w:tc>
        <w:tc>
          <w:tcPr>
            <w:tcW w:w="6117" w:type="dxa"/>
          </w:tcPr>
          <w:p w14:paraId="725375FC" w14:textId="77777777" w:rsidR="00B93EA5" w:rsidRPr="00FB47F8" w:rsidRDefault="00B93EA5" w:rsidP="005E7885">
            <w:pPr>
              <w:pStyle w:val="TableParagraph"/>
              <w:spacing w:line="276" w:lineRule="auto"/>
              <w:rPr>
                <w:rFonts w:asciiTheme="minorHAnsi" w:hAnsiTheme="minorHAnsi"/>
                <w:sz w:val="20"/>
                <w:szCs w:val="20"/>
              </w:rPr>
            </w:pPr>
          </w:p>
        </w:tc>
      </w:tr>
      <w:tr w:rsidR="00B93EA5" w:rsidRPr="00885549" w14:paraId="7D57F33D" w14:textId="77777777" w:rsidTr="005E7885">
        <w:trPr>
          <w:trHeight w:val="621"/>
        </w:trPr>
        <w:tc>
          <w:tcPr>
            <w:tcW w:w="3664" w:type="dxa"/>
          </w:tcPr>
          <w:p w14:paraId="2F778277" w14:textId="77777777" w:rsidR="00B93EA5" w:rsidRPr="00885549" w:rsidRDefault="00B93EA5" w:rsidP="005E7885">
            <w:pPr>
              <w:pStyle w:val="TableParagraph"/>
              <w:spacing w:before="59" w:line="276" w:lineRule="auto"/>
              <w:ind w:right="145"/>
              <w:rPr>
                <w:rFonts w:asciiTheme="minorHAnsi" w:hAnsiTheme="minorHAnsi"/>
                <w:b/>
                <w:bCs/>
                <w:sz w:val="20"/>
                <w:szCs w:val="20"/>
              </w:rPr>
            </w:pPr>
            <w:r w:rsidRPr="00885549">
              <w:rPr>
                <w:rFonts w:asciiTheme="minorHAnsi" w:hAnsiTheme="minorHAnsi"/>
                <w:b/>
                <w:bCs/>
                <w:sz w:val="20"/>
                <w:szCs w:val="20"/>
              </w:rPr>
              <w:t>Name of Pharmacist/authorized signatory signing service specification</w:t>
            </w:r>
          </w:p>
        </w:tc>
        <w:tc>
          <w:tcPr>
            <w:tcW w:w="6117" w:type="dxa"/>
          </w:tcPr>
          <w:p w14:paraId="16D4D0B8" w14:textId="77777777" w:rsidR="00B93EA5" w:rsidRPr="00885549" w:rsidRDefault="00B93EA5" w:rsidP="005E7885">
            <w:pPr>
              <w:pStyle w:val="TableParagraph"/>
              <w:spacing w:line="276" w:lineRule="auto"/>
              <w:rPr>
                <w:rFonts w:asciiTheme="minorHAnsi" w:hAnsiTheme="minorHAnsi"/>
                <w:sz w:val="20"/>
                <w:szCs w:val="20"/>
              </w:rPr>
            </w:pPr>
          </w:p>
        </w:tc>
      </w:tr>
      <w:tr w:rsidR="00B93EA5" w:rsidRPr="00885549" w14:paraId="5EFB6978" w14:textId="77777777" w:rsidTr="005E7885">
        <w:trPr>
          <w:trHeight w:val="369"/>
        </w:trPr>
        <w:tc>
          <w:tcPr>
            <w:tcW w:w="3664" w:type="dxa"/>
          </w:tcPr>
          <w:p w14:paraId="321B678B" w14:textId="77777777" w:rsidR="00B93EA5" w:rsidRPr="00885549" w:rsidRDefault="00B93EA5" w:rsidP="005E7885">
            <w:pPr>
              <w:pStyle w:val="TableParagraph"/>
              <w:spacing w:before="59" w:line="276" w:lineRule="auto"/>
              <w:rPr>
                <w:rFonts w:asciiTheme="minorHAnsi" w:hAnsiTheme="minorHAnsi"/>
                <w:b/>
                <w:bCs/>
                <w:sz w:val="20"/>
                <w:szCs w:val="20"/>
              </w:rPr>
            </w:pPr>
            <w:r w:rsidRPr="00885549">
              <w:rPr>
                <w:rFonts w:asciiTheme="minorHAnsi" w:hAnsiTheme="minorHAnsi"/>
                <w:b/>
                <w:bCs/>
                <w:sz w:val="20"/>
                <w:szCs w:val="20"/>
              </w:rPr>
              <w:t>RPSGB number</w:t>
            </w:r>
          </w:p>
        </w:tc>
        <w:tc>
          <w:tcPr>
            <w:tcW w:w="6117" w:type="dxa"/>
          </w:tcPr>
          <w:p w14:paraId="6060070D" w14:textId="77777777" w:rsidR="00B93EA5" w:rsidRPr="00885549" w:rsidRDefault="00B93EA5" w:rsidP="005E7885">
            <w:pPr>
              <w:pStyle w:val="TableParagraph"/>
              <w:spacing w:line="276" w:lineRule="auto"/>
              <w:rPr>
                <w:rFonts w:asciiTheme="minorHAnsi" w:hAnsiTheme="minorHAnsi"/>
                <w:sz w:val="20"/>
                <w:szCs w:val="20"/>
              </w:rPr>
            </w:pPr>
          </w:p>
        </w:tc>
      </w:tr>
      <w:tr w:rsidR="00B93EA5" w:rsidRPr="00885549" w14:paraId="0BB23BF6" w14:textId="77777777" w:rsidTr="005E7885">
        <w:trPr>
          <w:trHeight w:val="1300"/>
        </w:trPr>
        <w:tc>
          <w:tcPr>
            <w:tcW w:w="3664" w:type="dxa"/>
          </w:tcPr>
          <w:p w14:paraId="6E0A0213" w14:textId="77777777" w:rsidR="00B93EA5" w:rsidRPr="00885549" w:rsidRDefault="00B93EA5" w:rsidP="005E7885">
            <w:pPr>
              <w:pStyle w:val="TableParagraph"/>
              <w:spacing w:before="59" w:line="276" w:lineRule="auto"/>
              <w:rPr>
                <w:rFonts w:asciiTheme="minorHAnsi" w:hAnsiTheme="minorHAnsi"/>
                <w:b/>
                <w:bCs/>
                <w:sz w:val="20"/>
                <w:szCs w:val="20"/>
              </w:rPr>
            </w:pPr>
            <w:r w:rsidRPr="00885549">
              <w:rPr>
                <w:rFonts w:asciiTheme="minorHAnsi" w:hAnsiTheme="minorHAnsi"/>
                <w:b/>
                <w:bCs/>
                <w:sz w:val="20"/>
                <w:szCs w:val="20"/>
              </w:rPr>
              <w:t>Signature</w:t>
            </w:r>
          </w:p>
          <w:p w14:paraId="10FE78CF" w14:textId="77777777" w:rsidR="00B93EA5" w:rsidRPr="00885549" w:rsidRDefault="00B93EA5" w:rsidP="005E7885">
            <w:pPr>
              <w:pStyle w:val="TableParagraph"/>
              <w:spacing w:before="6" w:line="276" w:lineRule="auto"/>
              <w:rPr>
                <w:rFonts w:asciiTheme="minorHAnsi" w:hAnsiTheme="minorHAnsi"/>
                <w:b/>
                <w:bCs/>
                <w:sz w:val="20"/>
                <w:szCs w:val="20"/>
              </w:rPr>
            </w:pPr>
          </w:p>
          <w:p w14:paraId="0D6D51E1" w14:textId="77777777" w:rsidR="00B93EA5" w:rsidRPr="00885549" w:rsidRDefault="00B93EA5" w:rsidP="005E7885">
            <w:pPr>
              <w:pStyle w:val="TableParagraph"/>
              <w:spacing w:line="276" w:lineRule="auto"/>
              <w:rPr>
                <w:rFonts w:asciiTheme="minorHAnsi" w:hAnsiTheme="minorHAnsi"/>
                <w:b/>
                <w:bCs/>
                <w:sz w:val="20"/>
                <w:szCs w:val="20"/>
              </w:rPr>
            </w:pPr>
            <w:r w:rsidRPr="00885549">
              <w:rPr>
                <w:rFonts w:asciiTheme="minorHAnsi" w:hAnsiTheme="minorHAnsi"/>
                <w:b/>
                <w:bCs/>
                <w:sz w:val="20"/>
                <w:szCs w:val="20"/>
              </w:rPr>
              <w:t>Date</w:t>
            </w:r>
          </w:p>
        </w:tc>
        <w:tc>
          <w:tcPr>
            <w:tcW w:w="6117" w:type="dxa"/>
          </w:tcPr>
          <w:p w14:paraId="35EACC74" w14:textId="77777777" w:rsidR="00B93EA5" w:rsidRPr="00885549" w:rsidRDefault="00B93EA5" w:rsidP="005E7885">
            <w:pPr>
              <w:pStyle w:val="TableParagraph"/>
              <w:spacing w:line="276" w:lineRule="auto"/>
              <w:rPr>
                <w:rFonts w:asciiTheme="minorHAnsi" w:hAnsiTheme="minorHAnsi"/>
                <w:sz w:val="20"/>
                <w:szCs w:val="20"/>
              </w:rPr>
            </w:pPr>
          </w:p>
        </w:tc>
      </w:tr>
    </w:tbl>
    <w:tbl>
      <w:tblPr>
        <w:tblpPr w:leftFromText="180" w:rightFromText="180" w:vertAnchor="text" w:horzAnchor="margin" w:tblpY="13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5"/>
        <w:gridCol w:w="6391"/>
      </w:tblGrid>
      <w:tr w:rsidR="00B93EA5" w:rsidRPr="00885549" w14:paraId="20363CD8" w14:textId="77777777" w:rsidTr="005E7885">
        <w:trPr>
          <w:trHeight w:val="688"/>
        </w:trPr>
        <w:tc>
          <w:tcPr>
            <w:tcW w:w="9776" w:type="dxa"/>
            <w:gridSpan w:val="2"/>
            <w:shd w:val="clear" w:color="auto" w:fill="DFDFDF"/>
          </w:tcPr>
          <w:p w14:paraId="4FB2FA39" w14:textId="77777777" w:rsidR="00B93EA5" w:rsidRPr="00885549" w:rsidRDefault="00B93EA5" w:rsidP="005E7885">
            <w:pPr>
              <w:pStyle w:val="TableParagraph"/>
              <w:spacing w:before="122"/>
              <w:rPr>
                <w:rFonts w:asciiTheme="minorHAnsi" w:hAnsiTheme="minorHAnsi"/>
                <w:b/>
                <w:sz w:val="20"/>
                <w:szCs w:val="20"/>
              </w:rPr>
            </w:pPr>
            <w:r w:rsidRPr="00885549">
              <w:rPr>
                <w:rFonts w:asciiTheme="minorHAnsi" w:hAnsiTheme="minorHAnsi"/>
                <w:b/>
                <w:sz w:val="20"/>
                <w:szCs w:val="20"/>
              </w:rPr>
              <w:t>Cranstoun Details</w:t>
            </w:r>
          </w:p>
        </w:tc>
      </w:tr>
      <w:tr w:rsidR="00B93EA5" w:rsidRPr="00885549" w14:paraId="6C47FD5D" w14:textId="77777777" w:rsidTr="005E7885">
        <w:trPr>
          <w:trHeight w:val="688"/>
        </w:trPr>
        <w:tc>
          <w:tcPr>
            <w:tcW w:w="3385" w:type="dxa"/>
          </w:tcPr>
          <w:p w14:paraId="5BC8DFAB" w14:textId="77777777" w:rsidR="00B93EA5" w:rsidRPr="00885549" w:rsidRDefault="00B93EA5" w:rsidP="005E7885">
            <w:pPr>
              <w:pStyle w:val="TableParagraph"/>
              <w:spacing w:before="119"/>
              <w:rPr>
                <w:rFonts w:asciiTheme="minorHAnsi" w:hAnsiTheme="minorHAnsi"/>
                <w:b/>
                <w:bCs/>
                <w:sz w:val="20"/>
                <w:szCs w:val="20"/>
              </w:rPr>
            </w:pPr>
            <w:r w:rsidRPr="00885549">
              <w:rPr>
                <w:rFonts w:asciiTheme="minorHAnsi" w:hAnsiTheme="minorHAnsi"/>
                <w:b/>
                <w:bCs/>
                <w:sz w:val="20"/>
                <w:szCs w:val="20"/>
              </w:rPr>
              <w:t>Name</w:t>
            </w:r>
          </w:p>
        </w:tc>
        <w:tc>
          <w:tcPr>
            <w:tcW w:w="6391" w:type="dxa"/>
          </w:tcPr>
          <w:p w14:paraId="44397B9D" w14:textId="77777777" w:rsidR="00B93EA5" w:rsidRPr="00885549" w:rsidRDefault="00B93EA5" w:rsidP="005E7885">
            <w:pPr>
              <w:pStyle w:val="TableParagraph"/>
              <w:spacing w:before="119"/>
              <w:ind w:left="109"/>
              <w:rPr>
                <w:rFonts w:asciiTheme="minorHAnsi" w:hAnsiTheme="minorHAnsi"/>
                <w:sz w:val="20"/>
                <w:szCs w:val="20"/>
              </w:rPr>
            </w:pPr>
            <w:r w:rsidRPr="00885549">
              <w:rPr>
                <w:rFonts w:asciiTheme="minorHAnsi" w:hAnsiTheme="minorHAnsi"/>
                <w:sz w:val="20"/>
                <w:szCs w:val="20"/>
              </w:rPr>
              <w:t>Cranstoun</w:t>
            </w:r>
          </w:p>
        </w:tc>
      </w:tr>
      <w:tr w:rsidR="00B93EA5" w:rsidRPr="00885549" w14:paraId="50BE0657" w14:textId="77777777" w:rsidTr="005E7885">
        <w:trPr>
          <w:trHeight w:val="1500"/>
        </w:trPr>
        <w:tc>
          <w:tcPr>
            <w:tcW w:w="3385" w:type="dxa"/>
          </w:tcPr>
          <w:p w14:paraId="20CFD5FE" w14:textId="77777777" w:rsidR="00B93EA5" w:rsidRPr="00885549" w:rsidRDefault="00B93EA5" w:rsidP="005E7885">
            <w:pPr>
              <w:pStyle w:val="TableParagraph"/>
              <w:spacing w:line="250" w:lineRule="exact"/>
              <w:rPr>
                <w:rFonts w:asciiTheme="minorHAnsi" w:hAnsiTheme="minorHAnsi"/>
                <w:b/>
                <w:bCs/>
                <w:sz w:val="20"/>
                <w:szCs w:val="20"/>
              </w:rPr>
            </w:pPr>
            <w:r w:rsidRPr="00885549">
              <w:rPr>
                <w:rFonts w:asciiTheme="minorHAnsi" w:hAnsiTheme="minorHAnsi"/>
                <w:b/>
                <w:bCs/>
                <w:sz w:val="20"/>
                <w:szCs w:val="20"/>
              </w:rPr>
              <w:lastRenderedPageBreak/>
              <w:t>Address</w:t>
            </w:r>
          </w:p>
        </w:tc>
        <w:tc>
          <w:tcPr>
            <w:tcW w:w="6391" w:type="dxa"/>
          </w:tcPr>
          <w:p w14:paraId="605138D4" w14:textId="77777777" w:rsidR="00B93EA5" w:rsidRPr="00885549" w:rsidRDefault="00B93EA5" w:rsidP="005E7885">
            <w:pPr>
              <w:pStyle w:val="TableParagraph"/>
              <w:ind w:left="109" w:right="4037"/>
              <w:rPr>
                <w:rFonts w:asciiTheme="minorHAnsi" w:hAnsiTheme="minorHAnsi"/>
                <w:sz w:val="20"/>
                <w:szCs w:val="20"/>
              </w:rPr>
            </w:pPr>
            <w:r w:rsidRPr="00885549">
              <w:rPr>
                <w:rFonts w:asciiTheme="minorHAnsi" w:hAnsiTheme="minorHAnsi"/>
                <w:sz w:val="20"/>
                <w:szCs w:val="20"/>
              </w:rPr>
              <w:t xml:space="preserve">Cranstoun, </w:t>
            </w:r>
          </w:p>
          <w:p w14:paraId="26FE08C4" w14:textId="77777777" w:rsidR="00B93EA5" w:rsidRPr="00885549" w:rsidRDefault="00B93EA5" w:rsidP="005E7885">
            <w:pPr>
              <w:pStyle w:val="TableParagraph"/>
              <w:ind w:left="109" w:right="4037"/>
              <w:rPr>
                <w:rFonts w:asciiTheme="minorHAnsi" w:hAnsiTheme="minorHAnsi"/>
                <w:sz w:val="20"/>
                <w:szCs w:val="20"/>
              </w:rPr>
            </w:pPr>
            <w:r w:rsidRPr="00885549">
              <w:rPr>
                <w:rFonts w:asciiTheme="minorHAnsi" w:hAnsiTheme="minorHAnsi"/>
                <w:sz w:val="20"/>
                <w:szCs w:val="20"/>
              </w:rPr>
              <w:t>Thames Mews, Portsmouth Road, Esher</w:t>
            </w:r>
          </w:p>
          <w:p w14:paraId="7AA30251" w14:textId="77777777" w:rsidR="00B93EA5" w:rsidRPr="00885549" w:rsidRDefault="00B93EA5" w:rsidP="005E7885">
            <w:pPr>
              <w:pStyle w:val="TableParagraph"/>
              <w:spacing w:before="3" w:line="250" w:lineRule="exact"/>
              <w:ind w:left="109" w:right="4808"/>
              <w:rPr>
                <w:rFonts w:asciiTheme="minorHAnsi" w:hAnsiTheme="minorHAnsi"/>
                <w:sz w:val="20"/>
                <w:szCs w:val="20"/>
              </w:rPr>
            </w:pPr>
            <w:r w:rsidRPr="00885549">
              <w:rPr>
                <w:rFonts w:asciiTheme="minorHAnsi" w:hAnsiTheme="minorHAnsi"/>
                <w:sz w:val="20"/>
                <w:szCs w:val="20"/>
              </w:rPr>
              <w:t>Surrey</w:t>
            </w:r>
          </w:p>
          <w:p w14:paraId="5A9CE9B1" w14:textId="77777777" w:rsidR="00B93EA5" w:rsidRPr="00885549" w:rsidRDefault="00B93EA5" w:rsidP="005E7885">
            <w:pPr>
              <w:pStyle w:val="TableParagraph"/>
              <w:spacing w:before="3" w:line="250" w:lineRule="exact"/>
              <w:ind w:left="109" w:right="4808"/>
              <w:rPr>
                <w:rFonts w:asciiTheme="minorHAnsi" w:hAnsiTheme="minorHAnsi"/>
                <w:sz w:val="20"/>
                <w:szCs w:val="20"/>
              </w:rPr>
            </w:pPr>
            <w:r w:rsidRPr="00885549">
              <w:rPr>
                <w:rFonts w:asciiTheme="minorHAnsi" w:hAnsiTheme="minorHAnsi"/>
                <w:sz w:val="20"/>
                <w:szCs w:val="20"/>
              </w:rPr>
              <w:t>KT10 9AD</w:t>
            </w:r>
          </w:p>
        </w:tc>
      </w:tr>
      <w:tr w:rsidR="00B93EA5" w:rsidRPr="00885549" w14:paraId="7F58788B" w14:textId="77777777" w:rsidTr="005E7885">
        <w:trPr>
          <w:trHeight w:val="248"/>
        </w:trPr>
        <w:tc>
          <w:tcPr>
            <w:tcW w:w="3385" w:type="dxa"/>
          </w:tcPr>
          <w:p w14:paraId="250605AF" w14:textId="77777777" w:rsidR="00B93EA5" w:rsidRPr="00885549" w:rsidRDefault="00B93EA5" w:rsidP="005E7885">
            <w:pPr>
              <w:pStyle w:val="TableParagraph"/>
              <w:spacing w:line="229" w:lineRule="exact"/>
              <w:rPr>
                <w:rFonts w:asciiTheme="minorHAnsi" w:hAnsiTheme="minorHAnsi"/>
                <w:b/>
                <w:bCs/>
                <w:sz w:val="20"/>
                <w:szCs w:val="20"/>
              </w:rPr>
            </w:pPr>
            <w:r w:rsidRPr="00885549">
              <w:rPr>
                <w:rFonts w:asciiTheme="minorHAnsi" w:hAnsiTheme="minorHAnsi"/>
                <w:b/>
                <w:bCs/>
                <w:sz w:val="20"/>
                <w:szCs w:val="20"/>
              </w:rPr>
              <w:t>Phone Number</w:t>
            </w:r>
          </w:p>
        </w:tc>
        <w:tc>
          <w:tcPr>
            <w:tcW w:w="6391" w:type="dxa"/>
          </w:tcPr>
          <w:p w14:paraId="7314C863" w14:textId="77777777" w:rsidR="00B93EA5" w:rsidRPr="00885549" w:rsidRDefault="00B93EA5" w:rsidP="005E7885">
            <w:pPr>
              <w:pStyle w:val="TableParagraph"/>
              <w:spacing w:line="229" w:lineRule="exact"/>
              <w:ind w:left="109"/>
              <w:rPr>
                <w:rFonts w:asciiTheme="minorHAnsi" w:hAnsiTheme="minorHAnsi"/>
                <w:sz w:val="20"/>
                <w:szCs w:val="20"/>
              </w:rPr>
            </w:pPr>
            <w:r w:rsidRPr="00885549">
              <w:rPr>
                <w:rFonts w:asciiTheme="minorHAnsi" w:hAnsiTheme="minorHAnsi"/>
                <w:sz w:val="20"/>
                <w:szCs w:val="20"/>
              </w:rPr>
              <w:t>0208 335 1830</w:t>
            </w:r>
          </w:p>
        </w:tc>
      </w:tr>
      <w:tr w:rsidR="00B93EA5" w:rsidRPr="00FB47F8" w14:paraId="7F91AB1A" w14:textId="77777777" w:rsidTr="005E7885">
        <w:trPr>
          <w:trHeight w:val="249"/>
        </w:trPr>
        <w:tc>
          <w:tcPr>
            <w:tcW w:w="3385" w:type="dxa"/>
          </w:tcPr>
          <w:p w14:paraId="001572FF" w14:textId="77777777" w:rsidR="00B93EA5" w:rsidRPr="00885549" w:rsidRDefault="00B93EA5" w:rsidP="005E7885">
            <w:pPr>
              <w:pStyle w:val="TableParagraph"/>
              <w:spacing w:line="229" w:lineRule="exact"/>
              <w:rPr>
                <w:rFonts w:asciiTheme="minorHAnsi" w:hAnsiTheme="minorHAnsi"/>
                <w:b/>
                <w:bCs/>
                <w:sz w:val="20"/>
                <w:szCs w:val="20"/>
              </w:rPr>
            </w:pPr>
            <w:r w:rsidRPr="00885549">
              <w:rPr>
                <w:rFonts w:asciiTheme="minorHAnsi" w:hAnsiTheme="minorHAnsi"/>
                <w:b/>
                <w:bCs/>
                <w:sz w:val="20"/>
                <w:szCs w:val="20"/>
              </w:rPr>
              <w:t>Email</w:t>
            </w:r>
          </w:p>
        </w:tc>
        <w:tc>
          <w:tcPr>
            <w:tcW w:w="6391" w:type="dxa"/>
          </w:tcPr>
          <w:p w14:paraId="51E955E9" w14:textId="77777777" w:rsidR="00B93EA5" w:rsidRPr="00885549" w:rsidRDefault="00B93EA5" w:rsidP="005E7885">
            <w:pPr>
              <w:pStyle w:val="TableParagraph"/>
              <w:spacing w:line="229" w:lineRule="exact"/>
              <w:ind w:left="109"/>
              <w:rPr>
                <w:rFonts w:asciiTheme="minorHAnsi" w:hAnsiTheme="minorHAnsi"/>
                <w:sz w:val="20"/>
                <w:szCs w:val="20"/>
              </w:rPr>
            </w:pPr>
            <w:hyperlink r:id="rId10">
              <w:r w:rsidRPr="00885549">
                <w:rPr>
                  <w:rFonts w:asciiTheme="minorHAnsi" w:hAnsiTheme="minorHAnsi"/>
                  <w:color w:val="006BCF"/>
                  <w:sz w:val="20"/>
                  <w:szCs w:val="20"/>
                  <w:u w:val="single" w:color="006BCF"/>
                </w:rPr>
                <w:t>accountspayable@cranstoun.org.uk</w:t>
              </w:r>
            </w:hyperlink>
          </w:p>
        </w:tc>
      </w:tr>
      <w:tr w:rsidR="00B93EA5" w:rsidRPr="00FB47F8" w14:paraId="2FEFFE34" w14:textId="77777777" w:rsidTr="005E7885">
        <w:trPr>
          <w:trHeight w:val="249"/>
        </w:trPr>
        <w:tc>
          <w:tcPr>
            <w:tcW w:w="3385" w:type="dxa"/>
          </w:tcPr>
          <w:p w14:paraId="125DFBA9" w14:textId="77777777" w:rsidR="00B93EA5" w:rsidRPr="00885549" w:rsidRDefault="00B93EA5" w:rsidP="005E7885">
            <w:pPr>
              <w:pStyle w:val="TableParagraph"/>
              <w:spacing w:line="229" w:lineRule="exact"/>
              <w:rPr>
                <w:rFonts w:asciiTheme="minorHAnsi" w:hAnsiTheme="minorHAnsi"/>
                <w:b/>
                <w:bCs/>
                <w:sz w:val="20"/>
                <w:szCs w:val="20"/>
              </w:rPr>
            </w:pPr>
            <w:r w:rsidRPr="00885549">
              <w:rPr>
                <w:rFonts w:asciiTheme="minorHAnsi" w:hAnsiTheme="minorHAnsi"/>
                <w:b/>
                <w:bCs/>
                <w:sz w:val="20"/>
                <w:szCs w:val="20"/>
              </w:rPr>
              <w:t>Name of person signing SLA</w:t>
            </w:r>
          </w:p>
        </w:tc>
        <w:tc>
          <w:tcPr>
            <w:tcW w:w="6391" w:type="dxa"/>
          </w:tcPr>
          <w:p w14:paraId="3A8C3592" w14:textId="61692214" w:rsidR="00B93EA5" w:rsidRPr="00885549" w:rsidRDefault="00B93EA5" w:rsidP="005E7885">
            <w:pPr>
              <w:pStyle w:val="TableParagraph"/>
              <w:spacing w:line="229" w:lineRule="exact"/>
              <w:ind w:left="109"/>
              <w:rPr>
                <w:rFonts w:asciiTheme="minorHAnsi" w:hAnsiTheme="minorHAnsi"/>
                <w:sz w:val="20"/>
                <w:szCs w:val="20"/>
              </w:rPr>
            </w:pPr>
          </w:p>
        </w:tc>
      </w:tr>
      <w:tr w:rsidR="00B93EA5" w:rsidRPr="00FB47F8" w14:paraId="4F55A548" w14:textId="77777777" w:rsidTr="005E7885">
        <w:trPr>
          <w:trHeight w:val="251"/>
        </w:trPr>
        <w:tc>
          <w:tcPr>
            <w:tcW w:w="3385" w:type="dxa"/>
          </w:tcPr>
          <w:p w14:paraId="24F7D467" w14:textId="77777777" w:rsidR="00B93EA5" w:rsidRPr="00885549" w:rsidRDefault="00B93EA5" w:rsidP="005E7885">
            <w:pPr>
              <w:pStyle w:val="TableParagraph"/>
              <w:spacing w:line="232" w:lineRule="exact"/>
              <w:rPr>
                <w:rFonts w:asciiTheme="minorHAnsi" w:hAnsiTheme="minorHAnsi"/>
                <w:b/>
                <w:bCs/>
                <w:sz w:val="20"/>
                <w:szCs w:val="20"/>
              </w:rPr>
            </w:pPr>
            <w:r w:rsidRPr="00885549">
              <w:rPr>
                <w:rFonts w:asciiTheme="minorHAnsi" w:hAnsiTheme="minorHAnsi"/>
                <w:b/>
                <w:bCs/>
                <w:sz w:val="20"/>
                <w:szCs w:val="20"/>
              </w:rPr>
              <w:t>Position</w:t>
            </w:r>
          </w:p>
        </w:tc>
        <w:tc>
          <w:tcPr>
            <w:tcW w:w="6391" w:type="dxa"/>
          </w:tcPr>
          <w:p w14:paraId="529C4025" w14:textId="194D3F2C" w:rsidR="00B93EA5" w:rsidRPr="00885549" w:rsidRDefault="00B93EA5" w:rsidP="005E7885">
            <w:pPr>
              <w:pStyle w:val="TableParagraph"/>
              <w:spacing w:line="232" w:lineRule="exact"/>
              <w:ind w:left="109"/>
              <w:rPr>
                <w:rFonts w:asciiTheme="minorHAnsi" w:hAnsiTheme="minorHAnsi"/>
                <w:sz w:val="20"/>
                <w:szCs w:val="20"/>
              </w:rPr>
            </w:pPr>
          </w:p>
        </w:tc>
      </w:tr>
      <w:tr w:rsidR="00B93EA5" w:rsidRPr="00FB47F8" w14:paraId="3FE2AC47" w14:textId="77777777" w:rsidTr="005E7885">
        <w:trPr>
          <w:trHeight w:val="1453"/>
        </w:trPr>
        <w:tc>
          <w:tcPr>
            <w:tcW w:w="3385" w:type="dxa"/>
          </w:tcPr>
          <w:p w14:paraId="23B28CD5" w14:textId="77777777" w:rsidR="00B93EA5" w:rsidRPr="00885549" w:rsidRDefault="00B93EA5" w:rsidP="005E7885">
            <w:pPr>
              <w:pStyle w:val="TableParagraph"/>
              <w:spacing w:line="250" w:lineRule="exact"/>
              <w:rPr>
                <w:rFonts w:asciiTheme="minorHAnsi" w:hAnsiTheme="minorHAnsi"/>
                <w:b/>
                <w:bCs/>
                <w:sz w:val="20"/>
                <w:szCs w:val="20"/>
              </w:rPr>
            </w:pPr>
            <w:r w:rsidRPr="00885549">
              <w:rPr>
                <w:rFonts w:asciiTheme="minorHAnsi" w:hAnsiTheme="minorHAnsi"/>
                <w:b/>
                <w:bCs/>
                <w:sz w:val="20"/>
                <w:szCs w:val="20"/>
              </w:rPr>
              <w:t>Signature</w:t>
            </w:r>
          </w:p>
          <w:p w14:paraId="13D17A68" w14:textId="77777777" w:rsidR="00B93EA5" w:rsidRPr="00885549" w:rsidRDefault="00B93EA5" w:rsidP="005E7885">
            <w:pPr>
              <w:pStyle w:val="TableParagraph"/>
              <w:rPr>
                <w:rFonts w:asciiTheme="minorHAnsi" w:hAnsiTheme="minorHAnsi"/>
                <w:b/>
                <w:bCs/>
                <w:sz w:val="20"/>
                <w:szCs w:val="20"/>
              </w:rPr>
            </w:pPr>
          </w:p>
          <w:p w14:paraId="6651B601" w14:textId="77777777" w:rsidR="00B93EA5" w:rsidRPr="00885549" w:rsidRDefault="00B93EA5" w:rsidP="005E7885">
            <w:pPr>
              <w:pStyle w:val="TableParagraph"/>
              <w:spacing w:before="10"/>
              <w:rPr>
                <w:rFonts w:asciiTheme="minorHAnsi" w:hAnsiTheme="minorHAnsi"/>
                <w:b/>
                <w:bCs/>
                <w:sz w:val="20"/>
                <w:szCs w:val="20"/>
              </w:rPr>
            </w:pPr>
          </w:p>
          <w:p w14:paraId="67C0367A" w14:textId="77777777" w:rsidR="00B93EA5" w:rsidRPr="00885549" w:rsidRDefault="00B93EA5" w:rsidP="005E7885">
            <w:pPr>
              <w:pStyle w:val="TableParagraph"/>
              <w:rPr>
                <w:rFonts w:asciiTheme="minorHAnsi" w:hAnsiTheme="minorHAnsi"/>
                <w:b/>
                <w:bCs/>
                <w:sz w:val="20"/>
                <w:szCs w:val="20"/>
              </w:rPr>
            </w:pPr>
            <w:r w:rsidRPr="00885549">
              <w:rPr>
                <w:rFonts w:asciiTheme="minorHAnsi" w:hAnsiTheme="minorHAnsi"/>
                <w:b/>
                <w:bCs/>
                <w:sz w:val="20"/>
                <w:szCs w:val="20"/>
              </w:rPr>
              <w:t>Date</w:t>
            </w:r>
          </w:p>
        </w:tc>
        <w:tc>
          <w:tcPr>
            <w:tcW w:w="6391" w:type="dxa"/>
          </w:tcPr>
          <w:p w14:paraId="53F6D8A9" w14:textId="77777777" w:rsidR="00B93EA5" w:rsidRPr="00885549" w:rsidRDefault="00B93EA5" w:rsidP="005E7885">
            <w:pPr>
              <w:pStyle w:val="TableParagraph"/>
              <w:rPr>
                <w:rFonts w:asciiTheme="minorHAnsi" w:hAnsiTheme="minorHAnsi"/>
                <w:sz w:val="20"/>
                <w:szCs w:val="20"/>
              </w:rPr>
            </w:pPr>
          </w:p>
        </w:tc>
      </w:tr>
    </w:tbl>
    <w:p w14:paraId="67629596" w14:textId="77777777" w:rsidR="00B93EA5" w:rsidRDefault="00B93EA5" w:rsidP="007679B1"/>
    <w:p w14:paraId="22F1929C" w14:textId="77777777" w:rsidR="007679B1" w:rsidRPr="00B14ABE" w:rsidRDefault="007679B1" w:rsidP="00B14ABE"/>
    <w:p w14:paraId="7FF851EF" w14:textId="77777777" w:rsidR="00063C71" w:rsidRDefault="00063C71" w:rsidP="00063C71"/>
    <w:p w14:paraId="4CC548DA" w14:textId="77777777" w:rsidR="00063C71" w:rsidRDefault="00063C71"/>
    <w:p w14:paraId="7CD12880" w14:textId="77777777" w:rsidR="009B715A" w:rsidRDefault="009B715A"/>
    <w:p w14:paraId="0107F6B9" w14:textId="77777777" w:rsidR="009B715A" w:rsidRDefault="009B715A"/>
    <w:p w14:paraId="32B0EDC4" w14:textId="77777777" w:rsidR="009B715A" w:rsidRDefault="009B715A"/>
    <w:p w14:paraId="7B1EE45A" w14:textId="77777777" w:rsidR="009B715A" w:rsidRDefault="009B715A"/>
    <w:p w14:paraId="77D9B894" w14:textId="77777777" w:rsidR="009B715A" w:rsidRDefault="009B715A"/>
    <w:p w14:paraId="4B4BF10D" w14:textId="77777777" w:rsidR="009B715A" w:rsidRDefault="009B715A"/>
    <w:p w14:paraId="21C7AA6F" w14:textId="77777777" w:rsidR="009B715A" w:rsidRDefault="009B715A"/>
    <w:p w14:paraId="1516955F" w14:textId="77777777" w:rsidR="009B715A" w:rsidRDefault="009B715A"/>
    <w:p w14:paraId="58851357" w14:textId="77777777" w:rsidR="009B715A" w:rsidRDefault="009B715A"/>
    <w:p w14:paraId="3A386C60" w14:textId="77777777" w:rsidR="009B715A" w:rsidRDefault="009B715A"/>
    <w:p w14:paraId="71CCCCD7" w14:textId="77777777" w:rsidR="009B715A" w:rsidRDefault="009B715A"/>
    <w:p w14:paraId="7794B9FF" w14:textId="77777777" w:rsidR="009B715A" w:rsidRDefault="009B715A"/>
    <w:sectPr w:rsidR="009B715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10C2" w14:textId="77777777" w:rsidR="006D3AD8" w:rsidRDefault="006D3AD8" w:rsidP="006D3AD8">
      <w:pPr>
        <w:spacing w:after="0" w:line="240" w:lineRule="auto"/>
      </w:pPr>
      <w:r>
        <w:separator/>
      </w:r>
    </w:p>
  </w:endnote>
  <w:endnote w:type="continuationSeparator" w:id="0">
    <w:p w14:paraId="296C5A0B" w14:textId="77777777" w:rsidR="006D3AD8" w:rsidRDefault="006D3AD8" w:rsidP="006D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C336" w14:textId="77777777" w:rsidR="006D3AD8" w:rsidRDefault="006D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3E7B" w14:textId="77777777" w:rsidR="006D3AD8" w:rsidRDefault="006D3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3FAA" w14:textId="77777777" w:rsidR="006D3AD8" w:rsidRDefault="006D3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FE23" w14:textId="77777777" w:rsidR="006D3AD8" w:rsidRDefault="006D3AD8" w:rsidP="006D3AD8">
      <w:pPr>
        <w:spacing w:after="0" w:line="240" w:lineRule="auto"/>
      </w:pPr>
      <w:r>
        <w:separator/>
      </w:r>
    </w:p>
  </w:footnote>
  <w:footnote w:type="continuationSeparator" w:id="0">
    <w:p w14:paraId="67A135E3" w14:textId="77777777" w:rsidR="006D3AD8" w:rsidRDefault="006D3AD8" w:rsidP="006D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23A4" w14:textId="77777777" w:rsidR="006D3AD8" w:rsidRDefault="006D3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41967"/>
      <w:docPartObj>
        <w:docPartGallery w:val="Watermarks"/>
        <w:docPartUnique/>
      </w:docPartObj>
    </w:sdtPr>
    <w:sdtEndPr/>
    <w:sdtContent>
      <w:p w14:paraId="0EC3E0B0" w14:textId="77777777" w:rsidR="006D3AD8" w:rsidRDefault="00C33E95">
        <w:pPr>
          <w:pStyle w:val="Header"/>
        </w:pPr>
        <w:r>
          <w:rPr>
            <w:noProof/>
          </w:rPr>
          <w:pict w14:anchorId="21473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2207" w14:textId="77777777" w:rsidR="006D3AD8" w:rsidRDefault="006D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913"/>
    <w:multiLevelType w:val="hybridMultilevel"/>
    <w:tmpl w:val="4C98F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9A1985"/>
    <w:multiLevelType w:val="hybridMultilevel"/>
    <w:tmpl w:val="8F68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A17EE"/>
    <w:multiLevelType w:val="multilevel"/>
    <w:tmpl w:val="721E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F32187"/>
    <w:multiLevelType w:val="hybridMultilevel"/>
    <w:tmpl w:val="F510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E48BD"/>
    <w:multiLevelType w:val="multilevel"/>
    <w:tmpl w:val="572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552AEE"/>
    <w:multiLevelType w:val="multilevel"/>
    <w:tmpl w:val="5EB0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814A52"/>
    <w:multiLevelType w:val="multilevel"/>
    <w:tmpl w:val="E4F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5C11C0"/>
    <w:multiLevelType w:val="hybridMultilevel"/>
    <w:tmpl w:val="E90E5054"/>
    <w:lvl w:ilvl="0" w:tplc="F542A5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7748413">
    <w:abstractNumId w:val="7"/>
  </w:num>
  <w:num w:numId="2" w16cid:durableId="760564677">
    <w:abstractNumId w:val="5"/>
  </w:num>
  <w:num w:numId="3" w16cid:durableId="539975123">
    <w:abstractNumId w:val="0"/>
  </w:num>
  <w:num w:numId="4" w16cid:durableId="1046224816">
    <w:abstractNumId w:val="3"/>
  </w:num>
  <w:num w:numId="5" w16cid:durableId="539439623">
    <w:abstractNumId w:val="2"/>
  </w:num>
  <w:num w:numId="6" w16cid:durableId="730007957">
    <w:abstractNumId w:val="1"/>
  </w:num>
  <w:num w:numId="7" w16cid:durableId="615646754">
    <w:abstractNumId w:val="6"/>
  </w:num>
  <w:num w:numId="8" w16cid:durableId="2440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71"/>
    <w:rsid w:val="00020C83"/>
    <w:rsid w:val="00052A19"/>
    <w:rsid w:val="00062173"/>
    <w:rsid w:val="00063C71"/>
    <w:rsid w:val="00073BB9"/>
    <w:rsid w:val="000748E6"/>
    <w:rsid w:val="000B4173"/>
    <w:rsid w:val="000B51BE"/>
    <w:rsid w:val="000C2252"/>
    <w:rsid w:val="000C256A"/>
    <w:rsid w:val="000D2C60"/>
    <w:rsid w:val="00114511"/>
    <w:rsid w:val="001376A6"/>
    <w:rsid w:val="00147E03"/>
    <w:rsid w:val="0016168A"/>
    <w:rsid w:val="00165EFC"/>
    <w:rsid w:val="00190923"/>
    <w:rsid w:val="001C3E36"/>
    <w:rsid w:val="001C3E4E"/>
    <w:rsid w:val="00224705"/>
    <w:rsid w:val="002360C2"/>
    <w:rsid w:val="00254B1A"/>
    <w:rsid w:val="002A38A5"/>
    <w:rsid w:val="00315CDC"/>
    <w:rsid w:val="00324F3A"/>
    <w:rsid w:val="00345381"/>
    <w:rsid w:val="0035719A"/>
    <w:rsid w:val="003659FB"/>
    <w:rsid w:val="00366C28"/>
    <w:rsid w:val="0037096D"/>
    <w:rsid w:val="00387B33"/>
    <w:rsid w:val="003925D9"/>
    <w:rsid w:val="0041181A"/>
    <w:rsid w:val="00424813"/>
    <w:rsid w:val="004670EA"/>
    <w:rsid w:val="004775E7"/>
    <w:rsid w:val="004A4925"/>
    <w:rsid w:val="004A73DD"/>
    <w:rsid w:val="004D7F5E"/>
    <w:rsid w:val="00561461"/>
    <w:rsid w:val="00575B64"/>
    <w:rsid w:val="0060683B"/>
    <w:rsid w:val="0064262E"/>
    <w:rsid w:val="006548E5"/>
    <w:rsid w:val="00662E20"/>
    <w:rsid w:val="006779FF"/>
    <w:rsid w:val="00690A3C"/>
    <w:rsid w:val="00691060"/>
    <w:rsid w:val="006C1E02"/>
    <w:rsid w:val="006D3AD8"/>
    <w:rsid w:val="006D46C5"/>
    <w:rsid w:val="006F2CDC"/>
    <w:rsid w:val="006F3219"/>
    <w:rsid w:val="00703FA8"/>
    <w:rsid w:val="007578A3"/>
    <w:rsid w:val="007631E8"/>
    <w:rsid w:val="007679B1"/>
    <w:rsid w:val="007746BA"/>
    <w:rsid w:val="007934C1"/>
    <w:rsid w:val="007A1670"/>
    <w:rsid w:val="007B09B9"/>
    <w:rsid w:val="007B308C"/>
    <w:rsid w:val="007D47D9"/>
    <w:rsid w:val="007F5B54"/>
    <w:rsid w:val="0081351D"/>
    <w:rsid w:val="00817556"/>
    <w:rsid w:val="00827866"/>
    <w:rsid w:val="00885549"/>
    <w:rsid w:val="008A070F"/>
    <w:rsid w:val="008D7A46"/>
    <w:rsid w:val="00915B82"/>
    <w:rsid w:val="0093065B"/>
    <w:rsid w:val="0097206B"/>
    <w:rsid w:val="0097743C"/>
    <w:rsid w:val="009B715A"/>
    <w:rsid w:val="00A258AD"/>
    <w:rsid w:val="00A416A1"/>
    <w:rsid w:val="00A4569F"/>
    <w:rsid w:val="00A55D35"/>
    <w:rsid w:val="00A75D06"/>
    <w:rsid w:val="00AA0224"/>
    <w:rsid w:val="00AA16E5"/>
    <w:rsid w:val="00AC424B"/>
    <w:rsid w:val="00AC6A0D"/>
    <w:rsid w:val="00B14ABE"/>
    <w:rsid w:val="00B93EA5"/>
    <w:rsid w:val="00BB6B61"/>
    <w:rsid w:val="00BE54F1"/>
    <w:rsid w:val="00BF69FC"/>
    <w:rsid w:val="00C115A1"/>
    <w:rsid w:val="00C15D1F"/>
    <w:rsid w:val="00C239E2"/>
    <w:rsid w:val="00C23F20"/>
    <w:rsid w:val="00C26380"/>
    <w:rsid w:val="00C33E95"/>
    <w:rsid w:val="00C66375"/>
    <w:rsid w:val="00CA5FD1"/>
    <w:rsid w:val="00CB37CA"/>
    <w:rsid w:val="00D1612B"/>
    <w:rsid w:val="00D65A00"/>
    <w:rsid w:val="00D76C19"/>
    <w:rsid w:val="00D93B21"/>
    <w:rsid w:val="00DD3FF8"/>
    <w:rsid w:val="00DE5EBB"/>
    <w:rsid w:val="00E07BEA"/>
    <w:rsid w:val="00E66A4C"/>
    <w:rsid w:val="00E81AE6"/>
    <w:rsid w:val="00E90C25"/>
    <w:rsid w:val="00EC4693"/>
    <w:rsid w:val="00EC5D8A"/>
    <w:rsid w:val="00EE6F97"/>
    <w:rsid w:val="00F01B80"/>
    <w:rsid w:val="00F15077"/>
    <w:rsid w:val="00F34333"/>
    <w:rsid w:val="00FD0F7F"/>
    <w:rsid w:val="0FDA9254"/>
    <w:rsid w:val="1325C520"/>
    <w:rsid w:val="1B23AC82"/>
    <w:rsid w:val="1F02B37B"/>
    <w:rsid w:val="2AED33E5"/>
    <w:rsid w:val="30ABDE22"/>
    <w:rsid w:val="39CDDD13"/>
    <w:rsid w:val="490593D9"/>
    <w:rsid w:val="4AACAA20"/>
    <w:rsid w:val="4B7F5113"/>
    <w:rsid w:val="57F004A6"/>
    <w:rsid w:val="6E0D0E0C"/>
    <w:rsid w:val="76DD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4EA708"/>
  <w15:chartTrackingRefBased/>
  <w15:docId w15:val="{F123FBB7-8F48-43C7-8B08-B7784F08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C71"/>
    <w:rPr>
      <w:rFonts w:eastAsiaTheme="majorEastAsia" w:cstheme="majorBidi"/>
      <w:color w:val="272727" w:themeColor="text1" w:themeTint="D8"/>
    </w:rPr>
  </w:style>
  <w:style w:type="paragraph" w:styleId="Title">
    <w:name w:val="Title"/>
    <w:basedOn w:val="Normal"/>
    <w:next w:val="Normal"/>
    <w:link w:val="TitleChar"/>
    <w:uiPriority w:val="10"/>
    <w:qFormat/>
    <w:rsid w:val="0006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C71"/>
    <w:pPr>
      <w:spacing w:before="160"/>
      <w:jc w:val="center"/>
    </w:pPr>
    <w:rPr>
      <w:i/>
      <w:iCs/>
      <w:color w:val="404040" w:themeColor="text1" w:themeTint="BF"/>
    </w:rPr>
  </w:style>
  <w:style w:type="character" w:customStyle="1" w:styleId="QuoteChar">
    <w:name w:val="Quote Char"/>
    <w:basedOn w:val="DefaultParagraphFont"/>
    <w:link w:val="Quote"/>
    <w:uiPriority w:val="29"/>
    <w:rsid w:val="00063C71"/>
    <w:rPr>
      <w:i/>
      <w:iCs/>
      <w:color w:val="404040" w:themeColor="text1" w:themeTint="BF"/>
    </w:rPr>
  </w:style>
  <w:style w:type="paragraph" w:styleId="ListParagraph">
    <w:name w:val="List Paragraph"/>
    <w:basedOn w:val="Normal"/>
    <w:uiPriority w:val="34"/>
    <w:qFormat/>
    <w:rsid w:val="00063C71"/>
    <w:pPr>
      <w:ind w:left="720"/>
      <w:contextualSpacing/>
    </w:pPr>
  </w:style>
  <w:style w:type="character" w:styleId="IntenseEmphasis">
    <w:name w:val="Intense Emphasis"/>
    <w:basedOn w:val="DefaultParagraphFont"/>
    <w:uiPriority w:val="21"/>
    <w:qFormat/>
    <w:rsid w:val="00063C71"/>
    <w:rPr>
      <w:i/>
      <w:iCs/>
      <w:color w:val="0F4761" w:themeColor="accent1" w:themeShade="BF"/>
    </w:rPr>
  </w:style>
  <w:style w:type="paragraph" w:styleId="IntenseQuote">
    <w:name w:val="Intense Quote"/>
    <w:basedOn w:val="Normal"/>
    <w:next w:val="Normal"/>
    <w:link w:val="IntenseQuoteChar"/>
    <w:uiPriority w:val="30"/>
    <w:qFormat/>
    <w:rsid w:val="0006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C71"/>
    <w:rPr>
      <w:i/>
      <w:iCs/>
      <w:color w:val="0F4761" w:themeColor="accent1" w:themeShade="BF"/>
    </w:rPr>
  </w:style>
  <w:style w:type="character" w:styleId="IntenseReference">
    <w:name w:val="Intense Reference"/>
    <w:basedOn w:val="DefaultParagraphFont"/>
    <w:uiPriority w:val="32"/>
    <w:qFormat/>
    <w:rsid w:val="00063C71"/>
    <w:rPr>
      <w:b/>
      <w:bCs/>
      <w:smallCaps/>
      <w:color w:val="0F4761" w:themeColor="accent1" w:themeShade="BF"/>
      <w:spacing w:val="5"/>
    </w:rPr>
  </w:style>
  <w:style w:type="paragraph" w:styleId="NoSpacing">
    <w:name w:val="No Spacing"/>
    <w:uiPriority w:val="1"/>
    <w:qFormat/>
    <w:rsid w:val="00063C71"/>
    <w:pPr>
      <w:spacing w:after="0" w:line="240" w:lineRule="auto"/>
    </w:pPr>
  </w:style>
  <w:style w:type="paragraph" w:styleId="NormalWeb">
    <w:name w:val="Normal (Web)"/>
    <w:basedOn w:val="Normal"/>
    <w:uiPriority w:val="99"/>
    <w:semiHidden/>
    <w:unhideWhenUsed/>
    <w:rsid w:val="001376A6"/>
    <w:rPr>
      <w:rFonts w:ascii="Times New Roman" w:hAnsi="Times New Roman" w:cs="Times New Roman"/>
    </w:rPr>
  </w:style>
  <w:style w:type="table" w:styleId="TableGrid">
    <w:name w:val="Table Grid"/>
    <w:basedOn w:val="TableNormal"/>
    <w:uiPriority w:val="39"/>
    <w:rsid w:val="0076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B93EA5"/>
    <w:rPr>
      <w:color w:val="467886" w:themeColor="hyperlink"/>
      <w:u w:val="single"/>
    </w:rPr>
  </w:style>
  <w:style w:type="paragraph" w:styleId="BodyText">
    <w:name w:val="Body Text"/>
    <w:basedOn w:val="Normal"/>
    <w:link w:val="BodyTextChar"/>
    <w:rsid w:val="00B93EA5"/>
    <w:pPr>
      <w:spacing w:after="0" w:line="240" w:lineRule="atLeast"/>
      <w:jc w:val="both"/>
    </w:pPr>
    <w:rPr>
      <w:rFonts w:ascii="Helv" w:eastAsia="Times New Roman" w:hAnsi="Helv" w:cs="Times New Roman"/>
      <w:color w:val="000000"/>
      <w:kern w:val="0"/>
      <w:sz w:val="28"/>
      <w:szCs w:val="22"/>
      <w14:ligatures w14:val="none"/>
    </w:rPr>
  </w:style>
  <w:style w:type="character" w:customStyle="1" w:styleId="BodyTextChar">
    <w:name w:val="Body Text Char"/>
    <w:basedOn w:val="DefaultParagraphFont"/>
    <w:link w:val="BodyText"/>
    <w:rsid w:val="00B93EA5"/>
    <w:rPr>
      <w:rFonts w:ascii="Helv" w:eastAsia="Times New Roman" w:hAnsi="Helv" w:cs="Times New Roman"/>
      <w:color w:val="000000"/>
      <w:kern w:val="0"/>
      <w:sz w:val="28"/>
      <w:szCs w:val="22"/>
      <w14:ligatures w14:val="none"/>
    </w:rPr>
  </w:style>
  <w:style w:type="paragraph" w:customStyle="1" w:styleId="TableParagraph">
    <w:name w:val="Table Paragraph"/>
    <w:basedOn w:val="Normal"/>
    <w:uiPriority w:val="1"/>
    <w:qFormat/>
    <w:rsid w:val="00B93EA5"/>
    <w:pPr>
      <w:widowControl w:val="0"/>
      <w:autoSpaceDE w:val="0"/>
      <w:autoSpaceDN w:val="0"/>
      <w:spacing w:after="0" w:line="240" w:lineRule="auto"/>
    </w:pPr>
    <w:rPr>
      <w:rFonts w:ascii="Georgia" w:eastAsia="Georgia" w:hAnsi="Georgia" w:cs="Georgia"/>
      <w:kern w:val="0"/>
      <w:sz w:val="22"/>
      <w:szCs w:val="22"/>
      <w14:ligatures w14:val="none"/>
    </w:rPr>
  </w:style>
  <w:style w:type="character" w:styleId="UnresolvedMention">
    <w:name w:val="Unresolved Mention"/>
    <w:basedOn w:val="DefaultParagraphFont"/>
    <w:uiPriority w:val="99"/>
    <w:semiHidden/>
    <w:unhideWhenUsed/>
    <w:rsid w:val="006D3AD8"/>
    <w:rPr>
      <w:color w:val="605E5C"/>
      <w:shd w:val="clear" w:color="auto" w:fill="E1DFDD"/>
    </w:rPr>
  </w:style>
  <w:style w:type="paragraph" w:styleId="Header">
    <w:name w:val="header"/>
    <w:basedOn w:val="Normal"/>
    <w:link w:val="HeaderChar"/>
    <w:uiPriority w:val="99"/>
    <w:unhideWhenUsed/>
    <w:rsid w:val="006D3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AD8"/>
  </w:style>
  <w:style w:type="paragraph" w:styleId="Footer">
    <w:name w:val="footer"/>
    <w:basedOn w:val="Normal"/>
    <w:link w:val="FooterChar"/>
    <w:uiPriority w:val="99"/>
    <w:unhideWhenUsed/>
    <w:rsid w:val="006D3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AD8"/>
  </w:style>
  <w:style w:type="character" w:styleId="CommentReference">
    <w:name w:val="annotation reference"/>
    <w:basedOn w:val="DefaultParagraphFont"/>
    <w:uiPriority w:val="99"/>
    <w:semiHidden/>
    <w:unhideWhenUsed/>
    <w:rsid w:val="006D3AD8"/>
    <w:rPr>
      <w:sz w:val="16"/>
      <w:szCs w:val="16"/>
    </w:rPr>
  </w:style>
  <w:style w:type="paragraph" w:styleId="CommentText">
    <w:name w:val="annotation text"/>
    <w:basedOn w:val="Normal"/>
    <w:link w:val="CommentTextChar"/>
    <w:uiPriority w:val="99"/>
    <w:unhideWhenUsed/>
    <w:rsid w:val="006D3AD8"/>
    <w:pPr>
      <w:spacing w:line="240" w:lineRule="auto"/>
    </w:pPr>
    <w:rPr>
      <w:sz w:val="20"/>
      <w:szCs w:val="20"/>
    </w:rPr>
  </w:style>
  <w:style w:type="character" w:customStyle="1" w:styleId="CommentTextChar">
    <w:name w:val="Comment Text Char"/>
    <w:basedOn w:val="DefaultParagraphFont"/>
    <w:link w:val="CommentText"/>
    <w:uiPriority w:val="99"/>
    <w:rsid w:val="006D3AD8"/>
    <w:rPr>
      <w:sz w:val="20"/>
      <w:szCs w:val="20"/>
    </w:rPr>
  </w:style>
  <w:style w:type="paragraph" w:styleId="CommentSubject">
    <w:name w:val="annotation subject"/>
    <w:basedOn w:val="CommentText"/>
    <w:next w:val="CommentText"/>
    <w:link w:val="CommentSubjectChar"/>
    <w:uiPriority w:val="99"/>
    <w:semiHidden/>
    <w:unhideWhenUsed/>
    <w:rsid w:val="006D3AD8"/>
    <w:rPr>
      <w:b/>
      <w:bCs/>
    </w:rPr>
  </w:style>
  <w:style w:type="character" w:customStyle="1" w:styleId="CommentSubjectChar">
    <w:name w:val="Comment Subject Char"/>
    <w:basedOn w:val="CommentTextChar"/>
    <w:link w:val="CommentSubject"/>
    <w:uiPriority w:val="99"/>
    <w:semiHidden/>
    <w:rsid w:val="006D3A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388">
      <w:bodyDiv w:val="1"/>
      <w:marLeft w:val="0"/>
      <w:marRight w:val="0"/>
      <w:marTop w:val="0"/>
      <w:marBottom w:val="0"/>
      <w:divBdr>
        <w:top w:val="none" w:sz="0" w:space="0" w:color="auto"/>
        <w:left w:val="none" w:sz="0" w:space="0" w:color="auto"/>
        <w:bottom w:val="none" w:sz="0" w:space="0" w:color="auto"/>
        <w:right w:val="none" w:sz="0" w:space="0" w:color="auto"/>
      </w:divBdr>
    </w:div>
    <w:div w:id="79061952">
      <w:bodyDiv w:val="1"/>
      <w:marLeft w:val="0"/>
      <w:marRight w:val="0"/>
      <w:marTop w:val="0"/>
      <w:marBottom w:val="0"/>
      <w:divBdr>
        <w:top w:val="none" w:sz="0" w:space="0" w:color="auto"/>
        <w:left w:val="none" w:sz="0" w:space="0" w:color="auto"/>
        <w:bottom w:val="none" w:sz="0" w:space="0" w:color="auto"/>
        <w:right w:val="none" w:sz="0" w:space="0" w:color="auto"/>
      </w:divBdr>
    </w:div>
    <w:div w:id="212279115">
      <w:bodyDiv w:val="1"/>
      <w:marLeft w:val="0"/>
      <w:marRight w:val="0"/>
      <w:marTop w:val="0"/>
      <w:marBottom w:val="0"/>
      <w:divBdr>
        <w:top w:val="none" w:sz="0" w:space="0" w:color="auto"/>
        <w:left w:val="none" w:sz="0" w:space="0" w:color="auto"/>
        <w:bottom w:val="none" w:sz="0" w:space="0" w:color="auto"/>
        <w:right w:val="none" w:sz="0" w:space="0" w:color="auto"/>
      </w:divBdr>
    </w:div>
    <w:div w:id="309791742">
      <w:bodyDiv w:val="1"/>
      <w:marLeft w:val="0"/>
      <w:marRight w:val="0"/>
      <w:marTop w:val="0"/>
      <w:marBottom w:val="0"/>
      <w:divBdr>
        <w:top w:val="none" w:sz="0" w:space="0" w:color="auto"/>
        <w:left w:val="none" w:sz="0" w:space="0" w:color="auto"/>
        <w:bottom w:val="none" w:sz="0" w:space="0" w:color="auto"/>
        <w:right w:val="none" w:sz="0" w:space="0" w:color="auto"/>
      </w:divBdr>
    </w:div>
    <w:div w:id="804736828">
      <w:bodyDiv w:val="1"/>
      <w:marLeft w:val="0"/>
      <w:marRight w:val="0"/>
      <w:marTop w:val="0"/>
      <w:marBottom w:val="0"/>
      <w:divBdr>
        <w:top w:val="none" w:sz="0" w:space="0" w:color="auto"/>
        <w:left w:val="none" w:sz="0" w:space="0" w:color="auto"/>
        <w:bottom w:val="none" w:sz="0" w:space="0" w:color="auto"/>
        <w:right w:val="none" w:sz="0" w:space="0" w:color="auto"/>
      </w:divBdr>
    </w:div>
    <w:div w:id="827013944">
      <w:bodyDiv w:val="1"/>
      <w:marLeft w:val="0"/>
      <w:marRight w:val="0"/>
      <w:marTop w:val="0"/>
      <w:marBottom w:val="0"/>
      <w:divBdr>
        <w:top w:val="none" w:sz="0" w:space="0" w:color="auto"/>
        <w:left w:val="none" w:sz="0" w:space="0" w:color="auto"/>
        <w:bottom w:val="none" w:sz="0" w:space="0" w:color="auto"/>
        <w:right w:val="none" w:sz="0" w:space="0" w:color="auto"/>
      </w:divBdr>
    </w:div>
    <w:div w:id="1067220873">
      <w:bodyDiv w:val="1"/>
      <w:marLeft w:val="0"/>
      <w:marRight w:val="0"/>
      <w:marTop w:val="0"/>
      <w:marBottom w:val="0"/>
      <w:divBdr>
        <w:top w:val="none" w:sz="0" w:space="0" w:color="auto"/>
        <w:left w:val="none" w:sz="0" w:space="0" w:color="auto"/>
        <w:bottom w:val="none" w:sz="0" w:space="0" w:color="auto"/>
        <w:right w:val="none" w:sz="0" w:space="0" w:color="auto"/>
      </w:divBdr>
    </w:div>
    <w:div w:id="1150564206">
      <w:bodyDiv w:val="1"/>
      <w:marLeft w:val="0"/>
      <w:marRight w:val="0"/>
      <w:marTop w:val="0"/>
      <w:marBottom w:val="0"/>
      <w:divBdr>
        <w:top w:val="none" w:sz="0" w:space="0" w:color="auto"/>
        <w:left w:val="none" w:sz="0" w:space="0" w:color="auto"/>
        <w:bottom w:val="none" w:sz="0" w:space="0" w:color="auto"/>
        <w:right w:val="none" w:sz="0" w:space="0" w:color="auto"/>
      </w:divBdr>
    </w:div>
    <w:div w:id="1459227068">
      <w:bodyDiv w:val="1"/>
      <w:marLeft w:val="0"/>
      <w:marRight w:val="0"/>
      <w:marTop w:val="0"/>
      <w:marBottom w:val="0"/>
      <w:divBdr>
        <w:top w:val="none" w:sz="0" w:space="0" w:color="auto"/>
        <w:left w:val="none" w:sz="0" w:space="0" w:color="auto"/>
        <w:bottom w:val="none" w:sz="0" w:space="0" w:color="auto"/>
        <w:right w:val="none" w:sz="0" w:space="0" w:color="auto"/>
      </w:divBdr>
    </w:div>
    <w:div w:id="1511943169">
      <w:bodyDiv w:val="1"/>
      <w:marLeft w:val="0"/>
      <w:marRight w:val="0"/>
      <w:marTop w:val="0"/>
      <w:marBottom w:val="0"/>
      <w:divBdr>
        <w:top w:val="none" w:sz="0" w:space="0" w:color="auto"/>
        <w:left w:val="none" w:sz="0" w:space="0" w:color="auto"/>
        <w:bottom w:val="none" w:sz="0" w:space="0" w:color="auto"/>
        <w:right w:val="none" w:sz="0" w:space="0" w:color="auto"/>
      </w:divBdr>
    </w:div>
    <w:div w:id="1793591091">
      <w:bodyDiv w:val="1"/>
      <w:marLeft w:val="0"/>
      <w:marRight w:val="0"/>
      <w:marTop w:val="0"/>
      <w:marBottom w:val="0"/>
      <w:divBdr>
        <w:top w:val="none" w:sz="0" w:space="0" w:color="auto"/>
        <w:left w:val="none" w:sz="0" w:space="0" w:color="auto"/>
        <w:bottom w:val="none" w:sz="0" w:space="0" w:color="auto"/>
        <w:right w:val="none" w:sz="0" w:space="0" w:color="auto"/>
      </w:divBdr>
    </w:div>
    <w:div w:id="1816990198">
      <w:bodyDiv w:val="1"/>
      <w:marLeft w:val="0"/>
      <w:marRight w:val="0"/>
      <w:marTop w:val="0"/>
      <w:marBottom w:val="0"/>
      <w:divBdr>
        <w:top w:val="none" w:sz="0" w:space="0" w:color="auto"/>
        <w:left w:val="none" w:sz="0" w:space="0" w:color="auto"/>
        <w:bottom w:val="none" w:sz="0" w:space="0" w:color="auto"/>
        <w:right w:val="none" w:sz="0" w:space="0" w:color="auto"/>
      </w:divBdr>
    </w:div>
    <w:div w:id="1849589261">
      <w:bodyDiv w:val="1"/>
      <w:marLeft w:val="0"/>
      <w:marRight w:val="0"/>
      <w:marTop w:val="0"/>
      <w:marBottom w:val="0"/>
      <w:divBdr>
        <w:top w:val="none" w:sz="0" w:space="0" w:color="auto"/>
        <w:left w:val="none" w:sz="0" w:space="0" w:color="auto"/>
        <w:bottom w:val="none" w:sz="0" w:space="0" w:color="auto"/>
        <w:right w:val="none" w:sz="0" w:space="0" w:color="auto"/>
      </w:divBdr>
    </w:div>
    <w:div w:id="197440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csprimarycare@cranstoun.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countspayable@cranstoun.org.uk" TargetMode="External"/><Relationship Id="rId4" Type="http://schemas.openxmlformats.org/officeDocument/2006/relationships/settings" Target="settings.xml"/><Relationship Id="rId9" Type="http://schemas.openxmlformats.org/officeDocument/2006/relationships/hyperlink" Target="mailto:worcsprimarycare@cranstou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9C40-085F-4140-86FC-0ED94C4F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1245</Words>
  <Characters>7097</Characters>
  <Application>Microsoft Office Word</Application>
  <DocSecurity>0</DocSecurity>
  <Lines>59</Lines>
  <Paragraphs>16</Paragraphs>
  <ScaleCrop>false</ScaleCrop>
  <Company/>
  <LinksUpToDate>false</LinksUpToDate>
  <CharactersWithSpaces>8326</CharactersWithSpaces>
  <SharedDoc>false</SharedDoc>
  <HLinks>
    <vt:vector size="18" baseType="variant">
      <vt:variant>
        <vt:i4>6422552</vt:i4>
      </vt:variant>
      <vt:variant>
        <vt:i4>6</vt:i4>
      </vt:variant>
      <vt:variant>
        <vt:i4>0</vt:i4>
      </vt:variant>
      <vt:variant>
        <vt:i4>5</vt:i4>
      </vt:variant>
      <vt:variant>
        <vt:lpwstr>mailto:accountspayable@cranstoun.org.uk</vt:lpwstr>
      </vt:variant>
      <vt:variant>
        <vt:lpwstr/>
      </vt:variant>
      <vt:variant>
        <vt:i4>2883662</vt:i4>
      </vt:variant>
      <vt:variant>
        <vt:i4>3</vt:i4>
      </vt:variant>
      <vt:variant>
        <vt:i4>0</vt:i4>
      </vt:variant>
      <vt:variant>
        <vt:i4>5</vt:i4>
      </vt:variant>
      <vt:variant>
        <vt:lpwstr>mailto:worcsprimarycare@cranstoun.org.uk</vt:lpwstr>
      </vt:variant>
      <vt:variant>
        <vt:lpwstr/>
      </vt:variant>
      <vt:variant>
        <vt:i4>2883662</vt:i4>
      </vt:variant>
      <vt:variant>
        <vt:i4>0</vt:i4>
      </vt:variant>
      <vt:variant>
        <vt:i4>0</vt:i4>
      </vt:variant>
      <vt:variant>
        <vt:i4>5</vt:i4>
      </vt:variant>
      <vt:variant>
        <vt:lpwstr>mailto:worcsprimarycare@cranstoun.org.uk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Laura-Ann Finnegan</dc:creator>
  <cp:keywords/>
  <dc:description/>
  <cp:lastModifiedBy>Laura-Ann Finnegan</cp:lastModifiedBy>
  <cp:revision>15</cp:revision>
  <dcterms:created xsi:type="dcterms:W3CDTF">2025-07-18T10:17:00Z</dcterms:created>
  <dcterms:modified xsi:type="dcterms:W3CDTF">2025-08-01T15:19:00Z</dcterms:modified>
</cp:coreProperties>
</file>